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B3" w:rsidRDefault="006A5B81">
      <w:r>
        <w:rPr>
          <w:noProof/>
          <w:lang w:val="en-US"/>
        </w:rPr>
        <w:pict>
          <v:rect id="_x0000_s1107" style="position:absolute;margin-left:-71.55pt;margin-top:-78.25pt;width:148.65pt;height:851.45pt;z-index:251652095" fillcolor="#eeece1 [3214]">
            <v:fill color2="#fcfcf9"/>
          </v:rect>
        </w:pict>
      </w:r>
      <w:r>
        <w:rPr>
          <w:noProof/>
          <w:lang w:val="en-US"/>
        </w:rPr>
        <w:pict>
          <v:rect id="_x0000_s1089" style="position:absolute;margin-left:40.4pt;margin-top:-56.85pt;width:76.2pt;height:80.8pt;flip:x;z-index:251700224;mso-width-relative:margin;v-text-anchor:bottom" o:regroupid="5" fillcolor="#c0504d" strokecolor="white" strokeweight="1pt">
            <v:shadow color="#d8d8d8" offset="3pt,3pt" offset2="2pt,2pt"/>
            <v:textbox style="mso-next-textbox:#_x0000_s1089">
              <w:txbxContent>
                <w:p w:rsidR="00696AB3" w:rsidRPr="00696AB3" w:rsidRDefault="00696AB3">
                  <w:pPr>
                    <w:jc w:val="center"/>
                    <w:rPr>
                      <w:color w:val="FFFFFF"/>
                      <w:sz w:val="48"/>
                      <w:szCs w:val="52"/>
                    </w:rPr>
                  </w:pPr>
                  <w:r>
                    <w:rPr>
                      <w:sz w:val="52"/>
                      <w:szCs w:val="52"/>
                      <w:lang w:val="en-US"/>
                    </w:rPr>
                    <w:t>201</w:t>
                  </w:r>
                  <w:r w:rsidR="002D1EA7">
                    <w:rPr>
                      <w:sz w:val="52"/>
                      <w:szCs w:val="52"/>
                      <w:lang w:val="en-US"/>
                    </w:rPr>
                    <w:t>6</w:t>
                  </w:r>
                </w:p>
              </w:txbxContent>
            </v:textbox>
          </v:rect>
        </w:pict>
      </w:r>
      <w:r>
        <w:rPr>
          <w:noProof/>
          <w:lang w:val="en-US"/>
        </w:rPr>
        <w:pict>
          <v:rect id="_x0000_s1081" style="position:absolute;margin-left:77.1pt;margin-top:-19.25pt;width:413.2pt;height:799.8pt;z-index:251686912;mso-width-relative:margin" o:regroupid="2" filled="f" fillcolor="#737373" strokecolor="white" strokeweight="1pt">
            <v:shadow color="#d8d8d8" offset="3pt,3pt" offset2="2pt,2pt"/>
            <v:textbox style="mso-next-textbox:#_x0000_s1081" inset="18pt,108pt,36pt">
              <w:txbxContent>
                <w:p w:rsidR="002D1EA7" w:rsidRPr="002D1EA7" w:rsidRDefault="00357AC4">
                  <w:pPr>
                    <w:pStyle w:val="NoSpacing"/>
                    <w:rPr>
                      <w:i/>
                      <w:sz w:val="44"/>
                      <w:szCs w:val="44"/>
                    </w:rPr>
                  </w:pPr>
                  <w:bookmarkStart w:id="0" w:name="OLE_LINK1"/>
                  <w:bookmarkStart w:id="1" w:name="OLE_LINK2"/>
                  <w:r>
                    <w:rPr>
                      <w:sz w:val="64"/>
                      <w:szCs w:val="64"/>
                    </w:rPr>
                    <w:t>A Director’s Perspective On Integrated Reporting</w:t>
                  </w:r>
                </w:p>
                <w:bookmarkEnd w:id="0"/>
                <w:bookmarkEnd w:id="1"/>
                <w:p w:rsidR="00FA3D7F" w:rsidRDefault="00FA3D7F">
                  <w:pPr>
                    <w:pStyle w:val="NoSpacing"/>
                    <w:rPr>
                      <w:sz w:val="40"/>
                      <w:szCs w:val="40"/>
                    </w:rPr>
                  </w:pPr>
                </w:p>
                <w:p w:rsidR="00696AB3" w:rsidRPr="00696AB3" w:rsidRDefault="00357AC4">
                  <w:pPr>
                    <w:pStyle w:val="NoSpacing"/>
                    <w:rPr>
                      <w:color w:val="FFFFFF"/>
                      <w:sz w:val="40"/>
                      <w:szCs w:val="40"/>
                    </w:rPr>
                  </w:pPr>
                  <w:r>
                    <w:rPr>
                      <w:sz w:val="40"/>
                      <w:szCs w:val="40"/>
                    </w:rPr>
                    <w:t>2</w:t>
                  </w:r>
                  <w:r w:rsidR="00A87275">
                    <w:rPr>
                      <w:sz w:val="40"/>
                      <w:szCs w:val="40"/>
                    </w:rPr>
                    <w:t>6</w:t>
                  </w:r>
                  <w:r w:rsidR="002D1EA7" w:rsidRPr="002D1EA7">
                    <w:rPr>
                      <w:sz w:val="40"/>
                      <w:szCs w:val="40"/>
                      <w:vertAlign w:val="superscript"/>
                    </w:rPr>
                    <w:t>th</w:t>
                  </w:r>
                  <w:r w:rsidR="002D1EA7">
                    <w:rPr>
                      <w:sz w:val="40"/>
                      <w:szCs w:val="40"/>
                    </w:rPr>
                    <w:t xml:space="preserve"> </w:t>
                  </w:r>
                  <w:r w:rsidR="00A87275">
                    <w:rPr>
                      <w:sz w:val="40"/>
                      <w:szCs w:val="40"/>
                    </w:rPr>
                    <w:t>September</w:t>
                  </w:r>
                </w:p>
                <w:p w:rsidR="00696AB3" w:rsidRPr="00696AB3" w:rsidRDefault="00696AB3">
                  <w:pPr>
                    <w:pStyle w:val="NoSpacing"/>
                    <w:rPr>
                      <w:color w:val="FFFFFF"/>
                    </w:rPr>
                  </w:pPr>
                </w:p>
                <w:p w:rsidR="00696AB3" w:rsidRPr="00696AB3" w:rsidRDefault="00357AC4" w:rsidP="00357AC4">
                  <w:pPr>
                    <w:pStyle w:val="NoSpacing"/>
                    <w:jc w:val="both"/>
                    <w:rPr>
                      <w:color w:val="FFFFFF"/>
                    </w:rPr>
                  </w:pPr>
                  <w:r w:rsidRPr="00357AC4">
                    <w:t xml:space="preserve">The publication of sustainability (SR) or integrated reports (IR) has become commonplace among larger and smaller companies and many other organisations.  Having the sustainability information in these reports assured by an external assurer is not yet as widely applied and is still developing.  This workshop offers practical training on how your organisation can take the first steps to complete your own integrated report.  </w:t>
                  </w:r>
                </w:p>
              </w:txbxContent>
            </v:textbox>
          </v:rect>
        </w:pict>
      </w:r>
    </w:p>
    <w:p w:rsidR="00696AB3" w:rsidRDefault="00696AB3"/>
    <w:p w:rsidR="00D35263" w:rsidRDefault="006A5B81">
      <w:r>
        <w:rPr>
          <w:noProof/>
          <w:lang w:val="en-US"/>
        </w:rPr>
        <w:pict>
          <v:group id="_x0000_s1108" style="position:absolute;margin-left:-55.25pt;margin-top:116.25pt;width:132.5pt;height:322.9pt;z-index:251728896" coordorigin="-25,4271" coordsize="2650,6458">
            <v:rect id="_x0000_s1097" style="position:absolute;left:-25;top:4271;width:1127;height:1615" o:regroupid="9" fillcolor="#c0504d" strokecolor="white [3212]"/>
            <v:rect id="_x0000_s1098" style="position:absolute;left:-25;top:7499;width:1127;height:1615" o:regroupid="9" fillcolor="#c0504d" strokecolor="white [3212]"/>
            <v:rect id="_x0000_s1099" style="position:absolute;left:-25;top:5883;width:1127;height:1615" o:regroupid="9" fillcolor="#95b3d7 [1940]" strokecolor="white [3212]"/>
            <v:rect id="_x0000_s1100" style="position:absolute;left:1105;top:9114;width:1520;height:1615" o:regroupid="9" fillcolor="#c6d9f1 [671]" strokecolor="white [3212]"/>
            <v:rect id="_x0000_s1101" style="position:absolute;left:1105;top:5883;width:1520;height:1615" o:regroupid="9" fillcolor="#c6d9f1 [671]" strokecolor="white [3212]"/>
            <v:rect id="_x0000_s1102" style="position:absolute;left:1105;top:7498;width:1520;height:1615" o:regroupid="9" fillcolor="#95b3d7 [1940]" strokecolor="white [3212]"/>
          </v:group>
        </w:pict>
      </w:r>
      <w:r>
        <w:rPr>
          <w:noProof/>
          <w:lang w:val="en-US"/>
        </w:rPr>
        <w:pict>
          <v:rect id="_x0000_s1103" style="position:absolute;margin-left:456.35pt;margin-top:641.2pt;width:19.05pt;height:19.7pt;flip:y;z-index:251720704;mso-width-relative:margin;v-text-anchor:middle" o:regroupid="8" fillcolor="#ddd8c2 [2894]" strokecolor="white" strokeweight="1pt">
            <v:shadow color="#d8d8d8" offset="3pt,3pt" offset2="2pt,2pt"/>
          </v:rect>
        </w:pict>
      </w:r>
      <w:r>
        <w:rPr>
          <w:noProof/>
          <w:lang w:val="en-US"/>
        </w:rPr>
        <w:pict>
          <v:rect id="_x0000_s1104" style="position:absolute;margin-left:437.3pt;margin-top:660.9pt;width:19.05pt;height:20.35pt;flip:y;z-index:251721728;mso-width-relative:margin;v-text-anchor:middle" o:regroupid="8" fillcolor="#ddd8c2 [2894]" strokecolor="white" strokeweight="1pt">
            <v:shadow color="#d8d8d8" offset="3pt,3pt" offset2="2pt,2pt"/>
          </v:rect>
        </w:pict>
      </w:r>
      <w:r>
        <w:rPr>
          <w:noProof/>
          <w:lang w:val="en-US"/>
        </w:rPr>
        <w:pict>
          <v:rect id="_x0000_s1093" style="position:absolute;margin-left:437.3pt;margin-top:641.2pt;width:19.05pt;height:20.35pt;flip:y;z-index:251719680;mso-width-relative:margin;v-text-anchor:middle" o:regroupid="8" fillcolor="#c0504d" strokecolor="white" strokeweight="1pt">
            <v:shadow color="#d8d8d8" offset="3pt,3pt" offset2="2pt,2pt"/>
          </v:rect>
        </w:pict>
      </w:r>
      <w:r w:rsidR="00696AB3">
        <w:br w:type="page"/>
      </w:r>
    </w:p>
    <w:p w:rsidR="003F6F40" w:rsidRDefault="006A5B81">
      <w:r w:rsidRPr="006A5B81">
        <w:rPr>
          <w:rFonts w:asciiTheme="minorHAnsi" w:hAnsiTheme="minorHAnsi"/>
          <w:noProof/>
          <w:lang w:val="en-US"/>
        </w:rPr>
        <w:lastRenderedPageBreak/>
        <w:pict>
          <v:roundrect id="_x0000_s1046" style="position:absolute;margin-left:-6.8pt;margin-top:8.65pt;width:150.55pt;height:23.4pt;z-index:-251656192" arcsize="10923f">
            <v:shadow on="t" offset="3pt" offset2="2pt"/>
            <v:textbox>
              <w:txbxContent>
                <w:p w:rsidR="00B93281" w:rsidRPr="00B93281" w:rsidRDefault="00357AC4">
                  <w:pPr>
                    <w:rPr>
                      <w:rFonts w:asciiTheme="minorHAnsi" w:hAnsiTheme="minorHAnsi"/>
                    </w:rPr>
                  </w:pPr>
                  <w:r>
                    <w:rPr>
                      <w:rFonts w:asciiTheme="minorHAnsi" w:hAnsiTheme="minorHAnsi"/>
                    </w:rPr>
                    <w:t>BACKGROUND</w:t>
                  </w:r>
                </w:p>
              </w:txbxContent>
            </v:textbox>
          </v:roundrect>
        </w:pict>
      </w:r>
    </w:p>
    <w:p w:rsidR="00B26841" w:rsidRPr="00B26841" w:rsidRDefault="00B26841" w:rsidP="003F6F40">
      <w:pPr>
        <w:rPr>
          <w:rFonts w:asciiTheme="minorHAnsi" w:hAnsiTheme="minorHAnsi"/>
        </w:rPr>
        <w:sectPr w:rsidR="00B26841" w:rsidRPr="00B26841" w:rsidSect="00800675">
          <w:headerReference w:type="even" r:id="rId8"/>
          <w:headerReference w:type="default" r:id="rId9"/>
          <w:footerReference w:type="default" r:id="rId10"/>
          <w:headerReference w:type="first" r:id="rId11"/>
          <w:footerReference w:type="first" r:id="rId12"/>
          <w:pgSz w:w="11906" w:h="16838" w:code="9"/>
          <w:pgMar w:top="1440" w:right="1080" w:bottom="1440" w:left="1080" w:header="0" w:footer="0" w:gutter="0"/>
          <w:cols w:sep="1" w:space="720"/>
          <w:titlePg/>
          <w:docGrid w:linePitch="299"/>
        </w:sectPr>
      </w:pPr>
    </w:p>
    <w:p w:rsidR="003F6F40" w:rsidRDefault="003F6F40" w:rsidP="003F6F40">
      <w:pPr>
        <w:rPr>
          <w:rFonts w:asciiTheme="minorHAnsi" w:hAnsiTheme="minorHAnsi"/>
        </w:rPr>
      </w:pPr>
    </w:p>
    <w:p w:rsidR="00B93281" w:rsidRPr="00B26841" w:rsidRDefault="00B93281" w:rsidP="003F6F40">
      <w:pPr>
        <w:rPr>
          <w:rFonts w:asciiTheme="minorHAnsi" w:hAnsiTheme="minorHAnsi"/>
        </w:rPr>
      </w:pPr>
    </w:p>
    <w:p w:rsidR="00357AC4" w:rsidRDefault="00357AC4" w:rsidP="00357AC4">
      <w:pPr>
        <w:jc w:val="both"/>
        <w:rPr>
          <w:rFonts w:asciiTheme="minorHAnsi" w:hAnsiTheme="minorHAnsi"/>
        </w:rPr>
      </w:pPr>
      <w:r w:rsidRPr="00357AC4">
        <w:rPr>
          <w:rFonts w:asciiTheme="minorHAnsi" w:hAnsiTheme="minorHAnsi"/>
        </w:rPr>
        <w:t>The publication of sustainability (SR) or integrated reports (IR) has become commonplace among larger and smaller companies and many other organisations.  Having the sustainability information in these reports assured by an external assurer is not yet as widely applied and is still developing.  This workshop offers practical training on how your organisation can take the first steps to complete your own integrated report.  Integrated reporting can help your organisation in the following ways:</w:t>
      </w:r>
    </w:p>
    <w:p w:rsidR="00357AC4" w:rsidRDefault="00357AC4" w:rsidP="003F6F40">
      <w:pPr>
        <w:rPr>
          <w:rFonts w:asciiTheme="minorHAnsi" w:hAnsiTheme="minorHAnsi"/>
        </w:rPr>
      </w:pPr>
    </w:p>
    <w:p w:rsidR="00357AC4" w:rsidRPr="00357AC4" w:rsidRDefault="00357AC4" w:rsidP="00204391">
      <w:pPr>
        <w:pStyle w:val="ListParagraph"/>
        <w:numPr>
          <w:ilvl w:val="0"/>
          <w:numId w:val="14"/>
        </w:numPr>
        <w:spacing w:after="0" w:line="240" w:lineRule="auto"/>
        <w:ind w:left="425" w:hanging="425"/>
        <w:jc w:val="both"/>
        <w:rPr>
          <w:rFonts w:asciiTheme="minorHAnsi" w:hAnsiTheme="minorHAnsi"/>
        </w:rPr>
      </w:pPr>
      <w:r w:rsidRPr="00357AC4">
        <w:rPr>
          <w:rFonts w:asciiTheme="minorHAnsi" w:hAnsiTheme="minorHAnsi"/>
        </w:rPr>
        <w:t>Improve the quality of information available to providers of financial capital;</w:t>
      </w:r>
    </w:p>
    <w:p w:rsidR="00357AC4" w:rsidRPr="00357AC4" w:rsidRDefault="00357AC4" w:rsidP="00204391">
      <w:pPr>
        <w:pStyle w:val="ListParagraph"/>
        <w:numPr>
          <w:ilvl w:val="0"/>
          <w:numId w:val="14"/>
        </w:numPr>
        <w:spacing w:after="0" w:line="240" w:lineRule="auto"/>
        <w:ind w:left="425" w:hanging="425"/>
        <w:jc w:val="both"/>
        <w:rPr>
          <w:rFonts w:asciiTheme="minorHAnsi" w:hAnsiTheme="minorHAnsi"/>
        </w:rPr>
      </w:pPr>
      <w:r w:rsidRPr="00357AC4">
        <w:rPr>
          <w:rFonts w:asciiTheme="minorHAnsi" w:hAnsiTheme="minorHAnsi"/>
        </w:rPr>
        <w:t>Promote a more cohesive and efficient approach to corporate reporting;</w:t>
      </w:r>
    </w:p>
    <w:p w:rsidR="00357AC4" w:rsidRPr="00357AC4" w:rsidRDefault="00357AC4" w:rsidP="00204391">
      <w:pPr>
        <w:pStyle w:val="ListParagraph"/>
        <w:numPr>
          <w:ilvl w:val="0"/>
          <w:numId w:val="14"/>
        </w:numPr>
        <w:spacing w:after="0" w:line="240" w:lineRule="auto"/>
        <w:ind w:left="425" w:hanging="425"/>
        <w:jc w:val="both"/>
        <w:rPr>
          <w:rFonts w:asciiTheme="minorHAnsi" w:hAnsiTheme="minorHAnsi"/>
        </w:rPr>
      </w:pPr>
      <w:r w:rsidRPr="00357AC4">
        <w:rPr>
          <w:rFonts w:asciiTheme="minorHAnsi" w:hAnsiTheme="minorHAnsi"/>
        </w:rPr>
        <w:t>Enhance accountability and stewardship for your organisation’s different types of capital, (i.e.  financial, manufactured, intellectual, human, social and natural); and</w:t>
      </w:r>
    </w:p>
    <w:p w:rsidR="00357AC4" w:rsidRPr="00357AC4" w:rsidRDefault="00357AC4" w:rsidP="00204391">
      <w:pPr>
        <w:pStyle w:val="ListParagraph"/>
        <w:numPr>
          <w:ilvl w:val="0"/>
          <w:numId w:val="14"/>
        </w:numPr>
        <w:spacing w:after="0" w:line="240" w:lineRule="auto"/>
        <w:ind w:left="425" w:hanging="425"/>
        <w:jc w:val="both"/>
        <w:rPr>
          <w:rFonts w:asciiTheme="minorHAnsi" w:hAnsiTheme="minorHAnsi"/>
        </w:rPr>
      </w:pPr>
      <w:r w:rsidRPr="00357AC4">
        <w:rPr>
          <w:rFonts w:asciiTheme="minorHAnsi" w:hAnsiTheme="minorHAnsi"/>
        </w:rPr>
        <w:t>Support integrated thinking, decision making and actions that focus on creating value for your organisation (short, medium and long term).</w:t>
      </w:r>
    </w:p>
    <w:p w:rsidR="003F6F40" w:rsidRPr="00B26841" w:rsidRDefault="006A5B81" w:rsidP="003F6F40">
      <w:pPr>
        <w:rPr>
          <w:rFonts w:asciiTheme="minorHAnsi" w:hAnsiTheme="minorHAnsi"/>
        </w:rPr>
      </w:pPr>
      <w:r>
        <w:rPr>
          <w:rFonts w:asciiTheme="minorHAnsi" w:hAnsiTheme="minorHAnsi"/>
          <w:noProof/>
          <w:lang w:val="en-US"/>
        </w:rPr>
        <w:pict>
          <v:roundrect id="_x0000_s1049" style="position:absolute;margin-left:-6.8pt;margin-top:8.75pt;width:150.55pt;height:23.4pt;z-index:-251653120" arcsize="10923f">
            <v:shadow on="t" offset="3pt" offset2="2pt"/>
            <v:textbox>
              <w:txbxContent>
                <w:p w:rsidR="00B93281" w:rsidRPr="00B93281" w:rsidRDefault="00357AC4">
                  <w:pPr>
                    <w:rPr>
                      <w:rFonts w:asciiTheme="minorHAnsi" w:hAnsiTheme="minorHAnsi"/>
                    </w:rPr>
                  </w:pPr>
                  <w:r>
                    <w:rPr>
                      <w:rFonts w:asciiTheme="minorHAnsi" w:hAnsiTheme="minorHAnsi"/>
                    </w:rPr>
                    <w:t>METHODOLOGY</w:t>
                  </w:r>
                </w:p>
              </w:txbxContent>
            </v:textbox>
          </v:roundrect>
        </w:pict>
      </w:r>
    </w:p>
    <w:p w:rsidR="003F6F40" w:rsidRDefault="003F6F40" w:rsidP="003F6F40">
      <w:pPr>
        <w:rPr>
          <w:rFonts w:asciiTheme="minorHAnsi" w:hAnsiTheme="minorHAnsi"/>
        </w:rPr>
      </w:pPr>
    </w:p>
    <w:p w:rsidR="00204391" w:rsidRDefault="00204391" w:rsidP="003F6F40">
      <w:pPr>
        <w:rPr>
          <w:rFonts w:asciiTheme="minorHAnsi" w:hAnsiTheme="minorHAnsi"/>
        </w:rPr>
      </w:pPr>
    </w:p>
    <w:p w:rsidR="002176CF" w:rsidRDefault="00AE7046" w:rsidP="00204391">
      <w:pPr>
        <w:jc w:val="both"/>
        <w:rPr>
          <w:rFonts w:asciiTheme="minorHAnsi" w:hAnsiTheme="minorHAnsi"/>
        </w:rPr>
      </w:pPr>
      <w:r w:rsidRPr="00AE7046">
        <w:rPr>
          <w:rFonts w:asciiTheme="minorHAnsi" w:hAnsiTheme="minorHAnsi"/>
        </w:rPr>
        <w:t>This workshop is highly interactive and includes:</w:t>
      </w:r>
    </w:p>
    <w:p w:rsidR="00AE7046" w:rsidRDefault="00AE7046" w:rsidP="00204391">
      <w:pPr>
        <w:jc w:val="both"/>
        <w:rPr>
          <w:rFonts w:asciiTheme="minorHAnsi" w:hAnsiTheme="minorHAnsi"/>
        </w:rPr>
      </w:pPr>
    </w:p>
    <w:p w:rsidR="00AE7046" w:rsidRPr="00AE7046" w:rsidRDefault="00AE7046" w:rsidP="00204391">
      <w:pPr>
        <w:pStyle w:val="ListParagraph"/>
        <w:numPr>
          <w:ilvl w:val="0"/>
          <w:numId w:val="15"/>
        </w:numPr>
        <w:spacing w:after="0" w:line="240" w:lineRule="auto"/>
        <w:ind w:left="425" w:hanging="425"/>
        <w:jc w:val="both"/>
        <w:rPr>
          <w:rFonts w:asciiTheme="minorHAnsi" w:hAnsiTheme="minorHAnsi"/>
        </w:rPr>
      </w:pPr>
      <w:r w:rsidRPr="00AE7046">
        <w:rPr>
          <w:rFonts w:asciiTheme="minorHAnsi" w:hAnsiTheme="minorHAnsi"/>
        </w:rPr>
        <w:t>Interactive presentations;</w:t>
      </w:r>
    </w:p>
    <w:p w:rsidR="00AE7046" w:rsidRPr="00AE7046" w:rsidRDefault="00AE7046" w:rsidP="00204391">
      <w:pPr>
        <w:pStyle w:val="ListParagraph"/>
        <w:numPr>
          <w:ilvl w:val="0"/>
          <w:numId w:val="15"/>
        </w:numPr>
        <w:spacing w:after="0" w:line="240" w:lineRule="auto"/>
        <w:ind w:left="425" w:hanging="425"/>
        <w:jc w:val="both"/>
        <w:rPr>
          <w:rFonts w:asciiTheme="minorHAnsi" w:hAnsiTheme="minorHAnsi"/>
        </w:rPr>
      </w:pPr>
      <w:r w:rsidRPr="00AE7046">
        <w:rPr>
          <w:rFonts w:asciiTheme="minorHAnsi" w:hAnsiTheme="minorHAnsi"/>
        </w:rPr>
        <w:t>Class and small group discussions;</w:t>
      </w:r>
    </w:p>
    <w:p w:rsidR="00AE7046" w:rsidRPr="00AE7046" w:rsidRDefault="00AE7046" w:rsidP="00204391">
      <w:pPr>
        <w:pStyle w:val="ListParagraph"/>
        <w:numPr>
          <w:ilvl w:val="0"/>
          <w:numId w:val="15"/>
        </w:numPr>
        <w:spacing w:after="0" w:line="240" w:lineRule="auto"/>
        <w:ind w:left="425" w:hanging="425"/>
        <w:jc w:val="both"/>
        <w:rPr>
          <w:rFonts w:asciiTheme="minorHAnsi" w:hAnsiTheme="minorHAnsi"/>
        </w:rPr>
      </w:pPr>
      <w:r w:rsidRPr="00AE7046">
        <w:rPr>
          <w:rFonts w:asciiTheme="minorHAnsi" w:hAnsiTheme="minorHAnsi"/>
        </w:rPr>
        <w:t>Studying examples of assurance statements; and</w:t>
      </w:r>
    </w:p>
    <w:p w:rsidR="00AE7046" w:rsidRPr="00AE7046" w:rsidRDefault="00AE7046" w:rsidP="00204391">
      <w:pPr>
        <w:pStyle w:val="ListParagraph"/>
        <w:numPr>
          <w:ilvl w:val="0"/>
          <w:numId w:val="15"/>
        </w:numPr>
        <w:spacing w:after="0" w:line="240" w:lineRule="auto"/>
        <w:ind w:left="425" w:hanging="425"/>
        <w:jc w:val="both"/>
        <w:rPr>
          <w:rFonts w:asciiTheme="minorHAnsi" w:hAnsiTheme="minorHAnsi"/>
        </w:rPr>
      </w:pPr>
      <w:r w:rsidRPr="00AE7046">
        <w:rPr>
          <w:rFonts w:asciiTheme="minorHAnsi" w:hAnsiTheme="minorHAnsi"/>
        </w:rPr>
        <w:t>Suitable case studies for study and discussion.</w:t>
      </w:r>
    </w:p>
    <w:p w:rsidR="00357AC4" w:rsidRDefault="006A5B81" w:rsidP="002176CF">
      <w:pPr>
        <w:jc w:val="both"/>
        <w:rPr>
          <w:rFonts w:asciiTheme="minorHAnsi" w:hAnsiTheme="minorHAnsi"/>
        </w:rPr>
      </w:pPr>
      <w:r>
        <w:rPr>
          <w:rFonts w:asciiTheme="minorHAnsi" w:hAnsiTheme="minorHAnsi"/>
          <w:noProof/>
          <w:lang w:val="en-US"/>
        </w:rPr>
        <w:pict>
          <v:roundrect id="_x0000_s1132" style="position:absolute;left:0;text-align:left;margin-left:-6.8pt;margin-top:5.8pt;width:150.55pt;height:23.4pt;z-index:-251573248" arcsize="10923f">
            <v:shadow on="t" offset="3pt" offset2="2pt"/>
            <v:textbox style="mso-next-textbox:#_x0000_s1132">
              <w:txbxContent>
                <w:p w:rsidR="00AE7046" w:rsidRPr="00B374FE" w:rsidRDefault="00AE7046" w:rsidP="00AE7046">
                  <w:pPr>
                    <w:rPr>
                      <w:rFonts w:asciiTheme="minorHAnsi" w:hAnsiTheme="minorHAnsi"/>
                    </w:rPr>
                  </w:pPr>
                  <w:r>
                    <w:rPr>
                      <w:rFonts w:asciiTheme="minorHAnsi" w:hAnsiTheme="minorHAnsi"/>
                    </w:rPr>
                    <w:t>WORKSHOP CONTENT</w:t>
                  </w:r>
                </w:p>
              </w:txbxContent>
            </v:textbox>
          </v:roundrect>
        </w:pict>
      </w:r>
    </w:p>
    <w:p w:rsidR="00AE7046" w:rsidRDefault="00AE7046" w:rsidP="002176CF">
      <w:pPr>
        <w:jc w:val="both"/>
        <w:rPr>
          <w:rFonts w:asciiTheme="minorHAnsi" w:hAnsiTheme="minorHAnsi"/>
        </w:rPr>
      </w:pPr>
    </w:p>
    <w:p w:rsidR="00AE7046" w:rsidRDefault="00AE7046" w:rsidP="003F6F40">
      <w:pPr>
        <w:rPr>
          <w:rFonts w:asciiTheme="minorHAnsi" w:hAnsiTheme="minorHAnsi"/>
        </w:rPr>
      </w:pPr>
    </w:p>
    <w:p w:rsidR="00AE7046" w:rsidRDefault="00AE7046" w:rsidP="00204391">
      <w:pPr>
        <w:pStyle w:val="ListParagraph"/>
        <w:numPr>
          <w:ilvl w:val="0"/>
          <w:numId w:val="16"/>
        </w:numPr>
        <w:spacing w:after="0" w:line="240" w:lineRule="auto"/>
        <w:ind w:left="426" w:hanging="426"/>
        <w:rPr>
          <w:rFonts w:asciiTheme="minorHAnsi" w:hAnsiTheme="minorHAnsi"/>
        </w:rPr>
      </w:pPr>
      <w:r w:rsidRPr="00AE7046">
        <w:rPr>
          <w:rFonts w:asciiTheme="minorHAnsi" w:hAnsiTheme="minorHAnsi"/>
        </w:rPr>
        <w:t>Context of assurance of sustainability/integrated reports</w:t>
      </w:r>
    </w:p>
    <w:p w:rsidR="00AE7046" w:rsidRPr="00AE7046" w:rsidRDefault="00AE7046" w:rsidP="00204391">
      <w:pPr>
        <w:pStyle w:val="ListParagraph"/>
        <w:numPr>
          <w:ilvl w:val="0"/>
          <w:numId w:val="17"/>
        </w:numPr>
        <w:spacing w:after="0" w:line="240" w:lineRule="auto"/>
        <w:rPr>
          <w:rFonts w:asciiTheme="minorHAnsi" w:hAnsiTheme="minorHAnsi"/>
        </w:rPr>
      </w:pPr>
      <w:r w:rsidRPr="00AE7046">
        <w:rPr>
          <w:rFonts w:asciiTheme="minorHAnsi" w:hAnsiTheme="minorHAnsi"/>
        </w:rPr>
        <w:t>Global context</w:t>
      </w:r>
    </w:p>
    <w:p w:rsidR="00AE7046" w:rsidRDefault="00AE7046" w:rsidP="00204391">
      <w:pPr>
        <w:pStyle w:val="ListParagraph"/>
        <w:numPr>
          <w:ilvl w:val="0"/>
          <w:numId w:val="17"/>
        </w:numPr>
        <w:spacing w:after="0" w:line="240" w:lineRule="auto"/>
        <w:rPr>
          <w:rFonts w:asciiTheme="minorHAnsi" w:hAnsiTheme="minorHAnsi"/>
        </w:rPr>
      </w:pPr>
      <w:r w:rsidRPr="00AE7046">
        <w:rPr>
          <w:rFonts w:asciiTheme="minorHAnsi" w:hAnsiTheme="minorHAnsi"/>
        </w:rPr>
        <w:t>Local context</w:t>
      </w:r>
    </w:p>
    <w:p w:rsidR="00AE7046" w:rsidRDefault="00AE7046" w:rsidP="00204391">
      <w:pPr>
        <w:pStyle w:val="ListParagraph"/>
        <w:numPr>
          <w:ilvl w:val="0"/>
          <w:numId w:val="16"/>
        </w:numPr>
        <w:spacing w:after="0" w:line="240" w:lineRule="auto"/>
        <w:ind w:left="426" w:hanging="426"/>
        <w:rPr>
          <w:rFonts w:asciiTheme="minorHAnsi" w:hAnsiTheme="minorHAnsi"/>
        </w:rPr>
      </w:pPr>
      <w:r w:rsidRPr="00AE7046">
        <w:rPr>
          <w:rFonts w:asciiTheme="minorHAnsi" w:hAnsiTheme="minorHAnsi"/>
        </w:rPr>
        <w:t>The value and business case for integrated reporting</w:t>
      </w:r>
    </w:p>
    <w:p w:rsidR="00AE7046" w:rsidRDefault="00AE7046" w:rsidP="00204391">
      <w:pPr>
        <w:pStyle w:val="ListParagraph"/>
        <w:numPr>
          <w:ilvl w:val="0"/>
          <w:numId w:val="16"/>
        </w:numPr>
        <w:spacing w:after="0" w:line="240" w:lineRule="auto"/>
        <w:ind w:left="426" w:hanging="426"/>
        <w:rPr>
          <w:rFonts w:asciiTheme="minorHAnsi" w:hAnsiTheme="minorHAnsi"/>
        </w:rPr>
      </w:pPr>
      <w:r w:rsidRPr="00AE7046">
        <w:rPr>
          <w:rFonts w:asciiTheme="minorHAnsi" w:hAnsiTheme="minorHAnsi"/>
        </w:rPr>
        <w:t>Elements of the International Integrated Reporting &lt;IR&gt; framework</w:t>
      </w:r>
    </w:p>
    <w:p w:rsidR="00AE7046" w:rsidRDefault="00AE7046" w:rsidP="00204391">
      <w:pPr>
        <w:pStyle w:val="ListParagraph"/>
        <w:numPr>
          <w:ilvl w:val="0"/>
          <w:numId w:val="16"/>
        </w:numPr>
        <w:spacing w:after="0" w:line="240" w:lineRule="auto"/>
        <w:ind w:left="426" w:hanging="426"/>
        <w:rPr>
          <w:rFonts w:asciiTheme="minorHAnsi" w:hAnsiTheme="minorHAnsi"/>
        </w:rPr>
      </w:pPr>
      <w:r w:rsidRPr="00AE7046">
        <w:rPr>
          <w:rFonts w:asciiTheme="minorHAnsi" w:hAnsiTheme="minorHAnsi"/>
        </w:rPr>
        <w:t>Discussion on IR and Basis of Conclusions</w:t>
      </w:r>
    </w:p>
    <w:p w:rsidR="00204391" w:rsidRDefault="00204391" w:rsidP="00204391">
      <w:pPr>
        <w:rPr>
          <w:rFonts w:asciiTheme="minorHAnsi" w:hAnsiTheme="minorHAnsi"/>
        </w:rPr>
      </w:pPr>
    </w:p>
    <w:p w:rsidR="00204391" w:rsidRPr="00204391" w:rsidRDefault="00204391" w:rsidP="00204391">
      <w:pPr>
        <w:rPr>
          <w:rFonts w:asciiTheme="minorHAnsi" w:hAnsiTheme="minorHAnsi"/>
        </w:rPr>
      </w:pPr>
    </w:p>
    <w:p w:rsidR="00AE7046" w:rsidRDefault="00AE7046" w:rsidP="00204391">
      <w:pPr>
        <w:pStyle w:val="ListParagraph"/>
        <w:numPr>
          <w:ilvl w:val="0"/>
          <w:numId w:val="16"/>
        </w:numPr>
        <w:spacing w:after="0" w:line="240" w:lineRule="auto"/>
        <w:ind w:left="426" w:hanging="426"/>
        <w:rPr>
          <w:rFonts w:asciiTheme="minorHAnsi" w:hAnsiTheme="minorHAnsi"/>
        </w:rPr>
      </w:pPr>
      <w:r w:rsidRPr="00AE7046">
        <w:rPr>
          <w:rFonts w:asciiTheme="minorHAnsi" w:hAnsiTheme="minorHAnsi"/>
        </w:rPr>
        <w:lastRenderedPageBreak/>
        <w:t>Integrated reporting steps</w:t>
      </w:r>
    </w:p>
    <w:p w:rsidR="00AE7046" w:rsidRPr="00AE7046" w:rsidRDefault="00AE7046" w:rsidP="00AE7046">
      <w:pPr>
        <w:pStyle w:val="ListParagraph"/>
        <w:numPr>
          <w:ilvl w:val="1"/>
          <w:numId w:val="16"/>
        </w:numPr>
        <w:ind w:left="709" w:hanging="283"/>
        <w:rPr>
          <w:rFonts w:asciiTheme="minorHAnsi" w:hAnsiTheme="minorHAnsi"/>
        </w:rPr>
      </w:pPr>
      <w:r w:rsidRPr="00AE7046">
        <w:rPr>
          <w:rFonts w:asciiTheme="minorHAnsi" w:hAnsiTheme="minorHAnsi"/>
        </w:rPr>
        <w:t>Types of assurance</w:t>
      </w:r>
    </w:p>
    <w:p w:rsidR="00AE7046" w:rsidRPr="00AE7046" w:rsidRDefault="00AE7046" w:rsidP="00204391">
      <w:pPr>
        <w:pStyle w:val="ListParagraph"/>
        <w:numPr>
          <w:ilvl w:val="1"/>
          <w:numId w:val="16"/>
        </w:numPr>
        <w:spacing w:after="0" w:line="240" w:lineRule="auto"/>
        <w:ind w:left="709" w:hanging="283"/>
        <w:rPr>
          <w:rFonts w:asciiTheme="minorHAnsi" w:hAnsiTheme="minorHAnsi"/>
        </w:rPr>
      </w:pPr>
      <w:r w:rsidRPr="00AE7046">
        <w:rPr>
          <w:rFonts w:asciiTheme="minorHAnsi" w:hAnsiTheme="minorHAnsi"/>
        </w:rPr>
        <w:t>Levels of assurance</w:t>
      </w:r>
    </w:p>
    <w:p w:rsidR="00AE7046" w:rsidRPr="00AE7046" w:rsidRDefault="00AE7046" w:rsidP="00204391">
      <w:pPr>
        <w:pStyle w:val="ListParagraph"/>
        <w:numPr>
          <w:ilvl w:val="1"/>
          <w:numId w:val="16"/>
        </w:numPr>
        <w:spacing w:after="0" w:line="240" w:lineRule="auto"/>
        <w:ind w:left="709" w:hanging="283"/>
        <w:rPr>
          <w:rFonts w:asciiTheme="minorHAnsi" w:hAnsiTheme="minorHAnsi"/>
        </w:rPr>
      </w:pPr>
      <w:r w:rsidRPr="00AE7046">
        <w:rPr>
          <w:rFonts w:asciiTheme="minorHAnsi" w:hAnsiTheme="minorHAnsi"/>
        </w:rPr>
        <w:t>The role of the assurance provider</w:t>
      </w:r>
    </w:p>
    <w:p w:rsidR="00AE7046" w:rsidRPr="00AE7046" w:rsidRDefault="00AE7046" w:rsidP="00204391">
      <w:pPr>
        <w:pStyle w:val="ListParagraph"/>
        <w:numPr>
          <w:ilvl w:val="1"/>
          <w:numId w:val="16"/>
        </w:numPr>
        <w:spacing w:after="0" w:line="240" w:lineRule="auto"/>
        <w:ind w:left="709" w:hanging="283"/>
        <w:rPr>
          <w:rFonts w:asciiTheme="minorHAnsi" w:hAnsiTheme="minorHAnsi"/>
        </w:rPr>
      </w:pPr>
      <w:r w:rsidRPr="00AE7046">
        <w:rPr>
          <w:rFonts w:asciiTheme="minorHAnsi" w:hAnsiTheme="minorHAnsi"/>
        </w:rPr>
        <w:t>How to select an assurance provider</w:t>
      </w:r>
    </w:p>
    <w:p w:rsidR="00AE7046" w:rsidRPr="00AE7046" w:rsidRDefault="00AE7046" w:rsidP="00204391">
      <w:pPr>
        <w:pStyle w:val="ListParagraph"/>
        <w:numPr>
          <w:ilvl w:val="1"/>
          <w:numId w:val="16"/>
        </w:numPr>
        <w:spacing w:after="0" w:line="240" w:lineRule="auto"/>
        <w:ind w:left="709" w:hanging="283"/>
        <w:rPr>
          <w:rFonts w:asciiTheme="minorHAnsi" w:hAnsiTheme="minorHAnsi"/>
        </w:rPr>
      </w:pPr>
      <w:r w:rsidRPr="00AE7046">
        <w:rPr>
          <w:rFonts w:asciiTheme="minorHAnsi" w:hAnsiTheme="minorHAnsi"/>
        </w:rPr>
        <w:t>The assurance process</w:t>
      </w:r>
    </w:p>
    <w:p w:rsidR="00AE7046" w:rsidRDefault="00AE7046" w:rsidP="00204391">
      <w:pPr>
        <w:pStyle w:val="ListParagraph"/>
        <w:numPr>
          <w:ilvl w:val="1"/>
          <w:numId w:val="16"/>
        </w:numPr>
        <w:spacing w:after="0" w:line="240" w:lineRule="auto"/>
        <w:ind w:left="709" w:hanging="283"/>
        <w:rPr>
          <w:rFonts w:asciiTheme="minorHAnsi" w:hAnsiTheme="minorHAnsi"/>
        </w:rPr>
      </w:pPr>
      <w:r w:rsidRPr="00AE7046">
        <w:rPr>
          <w:rFonts w:asciiTheme="minorHAnsi" w:hAnsiTheme="minorHAnsi"/>
        </w:rPr>
        <w:t>Assurance engagement contract</w:t>
      </w:r>
    </w:p>
    <w:p w:rsidR="00AE7046" w:rsidRDefault="00AE7046" w:rsidP="00204391">
      <w:pPr>
        <w:pStyle w:val="ListParagraph"/>
        <w:numPr>
          <w:ilvl w:val="0"/>
          <w:numId w:val="16"/>
        </w:numPr>
        <w:spacing w:after="0" w:line="240" w:lineRule="auto"/>
        <w:ind w:left="426" w:hanging="426"/>
        <w:rPr>
          <w:rFonts w:asciiTheme="minorHAnsi" w:hAnsiTheme="minorHAnsi"/>
        </w:rPr>
      </w:pPr>
      <w:r w:rsidRPr="00AE7046">
        <w:rPr>
          <w:rFonts w:asciiTheme="minorHAnsi" w:hAnsiTheme="minorHAnsi"/>
        </w:rPr>
        <w:t>Effective integrated reporting guidelines</w:t>
      </w:r>
    </w:p>
    <w:p w:rsidR="00AE7046" w:rsidRDefault="00AE7046" w:rsidP="00204391">
      <w:pPr>
        <w:pStyle w:val="ListParagraph"/>
        <w:numPr>
          <w:ilvl w:val="0"/>
          <w:numId w:val="16"/>
        </w:numPr>
        <w:spacing w:after="0" w:line="240" w:lineRule="auto"/>
        <w:ind w:left="426" w:hanging="426"/>
        <w:rPr>
          <w:rFonts w:asciiTheme="minorHAnsi" w:hAnsiTheme="minorHAnsi"/>
        </w:rPr>
      </w:pPr>
      <w:r w:rsidRPr="00AE7046">
        <w:rPr>
          <w:rFonts w:asciiTheme="minorHAnsi" w:hAnsiTheme="minorHAnsi"/>
        </w:rPr>
        <w:t>Summary of Significant Issues and Concerns</w:t>
      </w:r>
    </w:p>
    <w:p w:rsidR="00AE7046" w:rsidRPr="00AE7046" w:rsidRDefault="00AE7046" w:rsidP="00204391">
      <w:pPr>
        <w:pStyle w:val="ListParagraph"/>
        <w:numPr>
          <w:ilvl w:val="1"/>
          <w:numId w:val="16"/>
        </w:numPr>
        <w:spacing w:after="0" w:line="240" w:lineRule="auto"/>
        <w:ind w:left="709" w:hanging="283"/>
        <w:rPr>
          <w:rFonts w:asciiTheme="minorHAnsi" w:hAnsiTheme="minorHAnsi"/>
        </w:rPr>
      </w:pPr>
      <w:r w:rsidRPr="00AE7046">
        <w:rPr>
          <w:rFonts w:asciiTheme="minorHAnsi" w:hAnsiTheme="minorHAnsi"/>
        </w:rPr>
        <w:t>The role of explicit management assertions</w:t>
      </w:r>
    </w:p>
    <w:p w:rsidR="00AE7046" w:rsidRPr="00AE7046" w:rsidRDefault="00AE7046" w:rsidP="00204391">
      <w:pPr>
        <w:pStyle w:val="ListParagraph"/>
        <w:numPr>
          <w:ilvl w:val="1"/>
          <w:numId w:val="16"/>
        </w:numPr>
        <w:spacing w:after="0" w:line="240" w:lineRule="auto"/>
        <w:ind w:left="709" w:hanging="283"/>
        <w:rPr>
          <w:rFonts w:asciiTheme="minorHAnsi" w:hAnsiTheme="minorHAnsi"/>
        </w:rPr>
      </w:pPr>
      <w:r w:rsidRPr="00AE7046">
        <w:rPr>
          <w:rFonts w:asciiTheme="minorHAnsi" w:hAnsiTheme="minorHAnsi"/>
        </w:rPr>
        <w:t>During the assurance engagement</w:t>
      </w:r>
    </w:p>
    <w:p w:rsidR="00AE7046" w:rsidRPr="00AE7046" w:rsidRDefault="00AE7046" w:rsidP="00204391">
      <w:pPr>
        <w:pStyle w:val="ListParagraph"/>
        <w:numPr>
          <w:ilvl w:val="1"/>
          <w:numId w:val="16"/>
        </w:numPr>
        <w:spacing w:after="0" w:line="240" w:lineRule="auto"/>
        <w:ind w:left="709" w:hanging="283"/>
        <w:rPr>
          <w:rFonts w:asciiTheme="minorHAnsi" w:hAnsiTheme="minorHAnsi"/>
        </w:rPr>
      </w:pPr>
      <w:r w:rsidRPr="00AE7046">
        <w:rPr>
          <w:rFonts w:asciiTheme="minorHAnsi" w:hAnsiTheme="minorHAnsi"/>
        </w:rPr>
        <w:t>Responding to assurance statement</w:t>
      </w:r>
    </w:p>
    <w:p w:rsidR="00AE7046" w:rsidRPr="00AE7046" w:rsidRDefault="006A5B81" w:rsidP="00204391">
      <w:pPr>
        <w:pStyle w:val="ListParagraph"/>
        <w:numPr>
          <w:ilvl w:val="1"/>
          <w:numId w:val="16"/>
        </w:numPr>
        <w:spacing w:after="0" w:line="240" w:lineRule="auto"/>
        <w:ind w:left="709" w:hanging="283"/>
        <w:rPr>
          <w:rFonts w:asciiTheme="minorHAnsi" w:hAnsiTheme="minorHAnsi"/>
        </w:rPr>
      </w:pPr>
      <w:r>
        <w:rPr>
          <w:rFonts w:asciiTheme="minorHAnsi" w:hAnsiTheme="minorHAnsi"/>
          <w:noProof/>
        </w:rPr>
        <w:pict>
          <v:roundrect id="_x0000_s1048" style="position:absolute;left:0;text-align:left;margin-left:-6.05pt;margin-top:24.15pt;width:150.55pt;height:23.4pt;z-index:-251654144" arcsize="10923f">
            <v:shadow on="t" offset="3pt" offset2="2pt"/>
            <v:textbox>
              <w:txbxContent>
                <w:p w:rsidR="00B374FE" w:rsidRPr="007559B7" w:rsidRDefault="007559B7">
                  <w:pPr>
                    <w:rPr>
                      <w:rFonts w:asciiTheme="minorHAnsi" w:hAnsiTheme="minorHAnsi"/>
                      <w:lang w:val="en-US"/>
                    </w:rPr>
                  </w:pPr>
                  <w:r>
                    <w:rPr>
                      <w:rFonts w:asciiTheme="minorHAnsi" w:hAnsiTheme="minorHAnsi"/>
                      <w:lang w:val="en-US"/>
                    </w:rPr>
                    <w:t>TARGET AUDIENCE</w:t>
                  </w:r>
                </w:p>
              </w:txbxContent>
            </v:textbox>
          </v:roundrect>
        </w:pict>
      </w:r>
      <w:r w:rsidR="00AE7046" w:rsidRPr="00AE7046">
        <w:rPr>
          <w:rFonts w:asciiTheme="minorHAnsi" w:hAnsiTheme="minorHAnsi"/>
        </w:rPr>
        <w:t>Disclosure requirements on assurance</w:t>
      </w:r>
    </w:p>
    <w:p w:rsidR="00AE7046" w:rsidRDefault="00AE7046" w:rsidP="003F6F40">
      <w:pPr>
        <w:rPr>
          <w:rFonts w:asciiTheme="minorHAnsi" w:hAnsiTheme="minorHAnsi"/>
        </w:rPr>
      </w:pPr>
    </w:p>
    <w:p w:rsidR="00204391" w:rsidRDefault="00204391" w:rsidP="003F6F40">
      <w:pPr>
        <w:rPr>
          <w:rFonts w:asciiTheme="minorHAnsi" w:hAnsiTheme="minorHAnsi"/>
        </w:rPr>
      </w:pPr>
    </w:p>
    <w:p w:rsidR="00AE7046" w:rsidRDefault="00AE7046" w:rsidP="003F6F40">
      <w:pPr>
        <w:rPr>
          <w:rFonts w:asciiTheme="minorHAnsi" w:hAnsiTheme="minorHAnsi"/>
        </w:rPr>
      </w:pPr>
    </w:p>
    <w:p w:rsidR="00204391" w:rsidRPr="00204391" w:rsidRDefault="00204391" w:rsidP="00204391">
      <w:pPr>
        <w:pStyle w:val="ListParagraph"/>
        <w:numPr>
          <w:ilvl w:val="0"/>
          <w:numId w:val="18"/>
        </w:numPr>
        <w:spacing w:after="0" w:line="240" w:lineRule="auto"/>
        <w:ind w:left="425" w:hanging="425"/>
        <w:jc w:val="both"/>
        <w:rPr>
          <w:rFonts w:asciiTheme="minorHAnsi" w:hAnsiTheme="minorHAnsi"/>
        </w:rPr>
      </w:pPr>
      <w:r w:rsidRPr="00204391">
        <w:rPr>
          <w:rFonts w:asciiTheme="minorHAnsi" w:hAnsiTheme="minorHAnsi"/>
        </w:rPr>
        <w:t>This integrated reporting workshop is for directors and general managers at a senior level who want to move beyond appreciating the business case for an integrated report to maximising competitive advantage through the strategy and integrated reporting process.  It will also be of value to sustainability and integrated reporting practitioners, and users of sustainability and integrated reports, including investors, government, regulators, bankers and NGOs.</w:t>
      </w:r>
    </w:p>
    <w:p w:rsidR="00204391" w:rsidRPr="00204391" w:rsidRDefault="00204391" w:rsidP="00204391">
      <w:pPr>
        <w:pStyle w:val="ListParagraph"/>
        <w:numPr>
          <w:ilvl w:val="0"/>
          <w:numId w:val="18"/>
        </w:numPr>
        <w:spacing w:after="0" w:line="240" w:lineRule="auto"/>
        <w:ind w:left="425" w:hanging="425"/>
        <w:jc w:val="both"/>
        <w:rPr>
          <w:rFonts w:asciiTheme="minorHAnsi" w:hAnsiTheme="minorHAnsi"/>
        </w:rPr>
      </w:pPr>
      <w:r w:rsidRPr="00204391">
        <w:rPr>
          <w:rFonts w:asciiTheme="minorHAnsi" w:hAnsiTheme="minorHAnsi"/>
        </w:rPr>
        <w:t>It is particularly recommended for members of the Audit Committee and the Audit Committee Chairman.</w:t>
      </w:r>
    </w:p>
    <w:p w:rsidR="00204391" w:rsidRPr="00204391" w:rsidRDefault="00204391" w:rsidP="00204391">
      <w:pPr>
        <w:pStyle w:val="ListParagraph"/>
        <w:numPr>
          <w:ilvl w:val="0"/>
          <w:numId w:val="18"/>
        </w:numPr>
        <w:spacing w:after="0" w:line="240" w:lineRule="auto"/>
        <w:ind w:left="425" w:hanging="425"/>
        <w:jc w:val="both"/>
        <w:rPr>
          <w:rFonts w:asciiTheme="minorHAnsi" w:hAnsiTheme="minorHAnsi"/>
        </w:rPr>
      </w:pPr>
      <w:r w:rsidRPr="00204391">
        <w:rPr>
          <w:rFonts w:asciiTheme="minorHAnsi" w:hAnsiTheme="minorHAnsi"/>
        </w:rPr>
        <w:t>Organisations that want to start assurance of their SR/IR.</w:t>
      </w:r>
    </w:p>
    <w:p w:rsidR="00AE7046" w:rsidRPr="00204391" w:rsidRDefault="00204391" w:rsidP="00204391">
      <w:pPr>
        <w:pStyle w:val="ListParagraph"/>
        <w:numPr>
          <w:ilvl w:val="0"/>
          <w:numId w:val="18"/>
        </w:numPr>
        <w:spacing w:after="0" w:line="240" w:lineRule="auto"/>
        <w:ind w:left="425" w:hanging="425"/>
        <w:jc w:val="both"/>
        <w:rPr>
          <w:rFonts w:asciiTheme="minorHAnsi" w:hAnsiTheme="minorHAnsi"/>
        </w:rPr>
      </w:pPr>
      <w:r w:rsidRPr="00204391">
        <w:rPr>
          <w:rFonts w:asciiTheme="minorHAnsi" w:hAnsiTheme="minorHAnsi"/>
        </w:rPr>
        <w:t>Organisations that have already had assurance on their SR/IR but want to enhance their capacity in managing the process.</w:t>
      </w:r>
    </w:p>
    <w:p w:rsidR="00AE7046" w:rsidRDefault="00AE7046" w:rsidP="003F6F40">
      <w:pPr>
        <w:rPr>
          <w:rFonts w:asciiTheme="minorHAnsi" w:hAnsiTheme="minorHAnsi"/>
        </w:rPr>
      </w:pPr>
    </w:p>
    <w:p w:rsidR="00FA3D7F" w:rsidRDefault="006A5B81" w:rsidP="003F6F40">
      <w:pPr>
        <w:rPr>
          <w:rFonts w:asciiTheme="minorHAnsi" w:hAnsiTheme="minorHAnsi"/>
        </w:rPr>
      </w:pPr>
      <w:r>
        <w:rPr>
          <w:rFonts w:asciiTheme="minorHAnsi" w:hAnsiTheme="minorHAnsi"/>
          <w:noProof/>
          <w:lang w:val="en-US"/>
        </w:rPr>
        <w:pict>
          <v:roundrect id="_x0000_s1051" style="position:absolute;margin-left:-6.05pt;margin-top:2.55pt;width:150.55pt;height:23.4pt;z-index:-251651072" arcsize="10923f">
            <v:shadow on="t" offset="3pt" offset2="2pt"/>
            <v:textbox style="mso-next-textbox:#_x0000_s1051">
              <w:txbxContent>
                <w:p w:rsidR="00B374FE" w:rsidRPr="00B374FE" w:rsidRDefault="00B374FE">
                  <w:pPr>
                    <w:rPr>
                      <w:rFonts w:asciiTheme="minorHAnsi" w:hAnsiTheme="minorHAnsi"/>
                    </w:rPr>
                  </w:pPr>
                  <w:r w:rsidRPr="00B374FE">
                    <w:rPr>
                      <w:rFonts w:asciiTheme="minorHAnsi" w:hAnsiTheme="minorHAnsi"/>
                    </w:rPr>
                    <w:t>ADMINISTRATIVE DETAILS</w:t>
                  </w:r>
                </w:p>
              </w:txbxContent>
            </v:textbox>
          </v:roundrect>
        </w:pict>
      </w:r>
    </w:p>
    <w:p w:rsidR="00B26841" w:rsidRDefault="00B26841">
      <w:pPr>
        <w:rPr>
          <w:rFonts w:asciiTheme="minorHAnsi" w:hAnsiTheme="minorHAnsi"/>
        </w:rPr>
      </w:pPr>
    </w:p>
    <w:p w:rsidR="00B26841" w:rsidRDefault="00B26841">
      <w:pPr>
        <w:rPr>
          <w:rFonts w:asciiTheme="minorHAnsi" w:hAnsiTheme="minorHAnsi"/>
        </w:rPr>
      </w:pPr>
    </w:p>
    <w:tbl>
      <w:tblPr>
        <w:tblW w:w="5095" w:type="dxa"/>
        <w:shd w:val="pct10" w:color="auto" w:fill="auto"/>
        <w:tblLayout w:type="fixed"/>
        <w:tblLook w:val="04A0"/>
      </w:tblPr>
      <w:tblGrid>
        <w:gridCol w:w="1723"/>
        <w:gridCol w:w="292"/>
        <w:gridCol w:w="3080"/>
      </w:tblGrid>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2176CF" w:rsidP="00A87275">
            <w:pPr>
              <w:ind w:right="308"/>
              <w:jc w:val="both"/>
              <w:rPr>
                <w:rFonts w:asciiTheme="minorHAnsi" w:hAnsiTheme="minorHAnsi" w:cs="Segoe UI Semibold"/>
                <w:sz w:val="20"/>
              </w:rPr>
            </w:pPr>
            <w:r>
              <w:rPr>
                <w:rFonts w:asciiTheme="minorHAnsi" w:hAnsiTheme="minorHAnsi" w:cs="Segoe UI Semibold"/>
                <w:sz w:val="20"/>
              </w:rPr>
              <w:t>2</w:t>
            </w:r>
            <w:r w:rsidR="00A87275">
              <w:rPr>
                <w:rFonts w:asciiTheme="minorHAnsi" w:hAnsiTheme="minorHAnsi" w:cs="Segoe UI Semibold"/>
                <w:sz w:val="20"/>
              </w:rPr>
              <w:t>6</w:t>
            </w:r>
            <w:r w:rsidRPr="002176CF">
              <w:rPr>
                <w:rFonts w:asciiTheme="minorHAnsi" w:hAnsiTheme="minorHAnsi" w:cs="Segoe UI Semibold"/>
                <w:sz w:val="20"/>
                <w:vertAlign w:val="superscript"/>
              </w:rPr>
              <w:t>th</w:t>
            </w:r>
            <w:r>
              <w:rPr>
                <w:rFonts w:asciiTheme="minorHAnsi" w:hAnsiTheme="minorHAnsi" w:cs="Segoe UI Semibold"/>
                <w:sz w:val="20"/>
              </w:rPr>
              <w:t xml:space="preserve"> </w:t>
            </w:r>
            <w:r w:rsidR="00A87275">
              <w:rPr>
                <w:rFonts w:asciiTheme="minorHAnsi" w:hAnsiTheme="minorHAnsi" w:cs="Segoe UI Semibold"/>
                <w:sz w:val="20"/>
              </w:rPr>
              <w:t>September</w:t>
            </w:r>
            <w:r>
              <w:rPr>
                <w:rFonts w:asciiTheme="minorHAnsi" w:hAnsiTheme="minorHAnsi" w:cs="Segoe UI Semibold"/>
                <w:sz w:val="20"/>
              </w:rPr>
              <w:t xml:space="preserve"> 2016</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E76F43" w:rsidP="00E76F43">
            <w:pPr>
              <w:ind w:right="308"/>
              <w:jc w:val="both"/>
              <w:rPr>
                <w:rFonts w:asciiTheme="minorHAnsi" w:hAnsiTheme="minorHAnsi" w:cs="Segoe UI Semibold"/>
                <w:sz w:val="20"/>
              </w:rPr>
            </w:pPr>
            <w:r>
              <w:rPr>
                <w:rFonts w:asciiTheme="minorHAnsi" w:hAnsiTheme="minorHAnsi" w:cs="Segoe UI Semibold"/>
                <w:sz w:val="20"/>
              </w:rPr>
              <w:t xml:space="preserve">01 </w:t>
            </w:r>
            <w:r w:rsidR="00B374FE">
              <w:rPr>
                <w:rFonts w:asciiTheme="minorHAnsi" w:hAnsiTheme="minorHAnsi" w:cs="Segoe UI Semibold"/>
                <w:sz w:val="20"/>
              </w:rPr>
              <w:t>day(</w:t>
            </w:r>
            <w:r w:rsidR="000D57B6">
              <w:rPr>
                <w:rFonts w:asciiTheme="minorHAnsi" w:hAnsiTheme="minorHAnsi" w:cs="Segoe UI Semibold"/>
                <w:sz w:val="20"/>
              </w:rPr>
              <w:t>0900 – 1</w:t>
            </w:r>
            <w:r>
              <w:rPr>
                <w:rFonts w:asciiTheme="minorHAnsi" w:hAnsiTheme="minorHAnsi" w:cs="Segoe UI Semibold"/>
                <w:sz w:val="20"/>
              </w:rPr>
              <w:t>7</w:t>
            </w:r>
            <w:r w:rsidR="00D90843" w:rsidRPr="00D90843">
              <w:rPr>
                <w:rFonts w:asciiTheme="minorHAnsi" w:hAnsiTheme="minorHAnsi" w:cs="Segoe UI Semibold"/>
                <w:sz w:val="20"/>
              </w:rPr>
              <w:t>00</w:t>
            </w:r>
            <w:r w:rsidR="00B374FE">
              <w:rPr>
                <w:rFonts w:asciiTheme="minorHAnsi" w:hAnsiTheme="minorHAnsi" w:cs="Segoe UI Semibold"/>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E76F43" w:rsidP="00D102CC">
            <w:pPr>
              <w:ind w:right="308"/>
              <w:jc w:val="both"/>
              <w:rPr>
                <w:rFonts w:asciiTheme="minorHAnsi" w:hAnsiTheme="minorHAnsi" w:cs="Segoe UI Semibold"/>
                <w:sz w:val="20"/>
              </w:rPr>
            </w:pPr>
            <w:r>
              <w:rPr>
                <w:rFonts w:asciiTheme="minorHAnsi" w:hAnsiTheme="minorHAnsi" w:cs="Segoe UI Semibold"/>
                <w:sz w:val="20"/>
              </w:rPr>
              <w:t xml:space="preserve">Kuala Lumpur / </w:t>
            </w:r>
            <w:r w:rsidR="002176CF">
              <w:rPr>
                <w:rFonts w:asciiTheme="minorHAnsi" w:hAnsiTheme="minorHAnsi" w:cs="Segoe UI Semibold"/>
                <w:sz w:val="20"/>
              </w:rPr>
              <w:t>Petaling Jaya</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D90843" w:rsidP="00E76F43">
            <w:pPr>
              <w:ind w:right="308"/>
              <w:jc w:val="both"/>
              <w:rPr>
                <w:rFonts w:asciiTheme="minorHAnsi" w:hAnsiTheme="minorHAnsi" w:cs="Segoe UI Semibold"/>
                <w:sz w:val="20"/>
              </w:rPr>
            </w:pPr>
            <w:r w:rsidRPr="00D90843">
              <w:rPr>
                <w:rFonts w:asciiTheme="minorHAnsi" w:hAnsiTheme="minorHAnsi" w:cs="Segoe UI Semibold"/>
                <w:sz w:val="20"/>
              </w:rPr>
              <w:t>RM</w:t>
            </w:r>
            <w:r w:rsidR="00E76F43">
              <w:rPr>
                <w:rFonts w:asciiTheme="minorHAnsi" w:hAnsiTheme="minorHAnsi" w:cs="Segoe UI Semibold"/>
                <w:sz w:val="20"/>
              </w:rPr>
              <w:t>1,484.00</w:t>
            </w:r>
            <w:r w:rsidRPr="00D90843">
              <w:rPr>
                <w:rFonts w:asciiTheme="minorHAnsi" w:hAnsiTheme="minorHAnsi" w:cs="Segoe UI Semibold"/>
                <w:sz w:val="20"/>
              </w:rPr>
              <w:t xml:space="preserve"> per </w:t>
            </w:r>
            <w:r w:rsidR="00E76F43">
              <w:rPr>
                <w:rFonts w:asciiTheme="minorHAnsi" w:hAnsiTheme="minorHAnsi" w:cs="Segoe UI Semibold"/>
                <w:sz w:val="20"/>
              </w:rPr>
              <w:t>person</w:t>
            </w:r>
            <w:r w:rsidRPr="00D90843">
              <w:rPr>
                <w:rFonts w:asciiTheme="minorHAnsi" w:hAnsiTheme="minorHAnsi" w:cs="Segoe UI Semibold"/>
                <w:sz w:val="20"/>
              </w:rPr>
              <w:t xml:space="preserve"> </w:t>
            </w:r>
            <w:r w:rsidRPr="00D90843">
              <w:rPr>
                <w:rFonts w:asciiTheme="minorHAnsi" w:hAnsiTheme="minorHAnsi" w:cs="Segoe UI Semibold"/>
                <w:bCs/>
                <w:sz w:val="20"/>
              </w:rPr>
              <w:t>(</w:t>
            </w:r>
            <w:r w:rsidR="00C97D66">
              <w:rPr>
                <w:rFonts w:asciiTheme="minorHAnsi" w:hAnsiTheme="minorHAnsi" w:cs="Segoe UI Semibold"/>
                <w:bCs/>
                <w:sz w:val="20"/>
              </w:rPr>
              <w:t xml:space="preserve">Fee is inclusive of </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6A5B81">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48.65pt;margin-top:9.85pt;width:118.05pt;height:33.2pt;z-index:251657216;mso-position-horizontal-relative:text;mso-position-vertical-relative:text" fillcolor="white [3201]" strokecolor="#fabf8f [1945]" strokeweight="1pt">
            <v:fill color2="#fbd4b4 [1305]" focusposition="1" focussize="" focus="100%" type="gradient"/>
            <v:shadow on="t" type="perspective" color="#974706 [1609]" opacity=".5" offset="1pt" offset2="-3pt"/>
            <v:textbox>
              <w:txbxContent>
                <w:p w:rsidR="00A5263F" w:rsidRPr="00B37990" w:rsidRDefault="00A5263F" w:rsidP="00A5263F">
                  <w:pPr>
                    <w:jc w:val="center"/>
                    <w:rPr>
                      <w:b/>
                      <w:color w:val="FFFFFF"/>
                      <w:sz w:val="10"/>
                      <w:szCs w:val="10"/>
                    </w:rPr>
                  </w:pPr>
                </w:p>
                <w:p w:rsidR="00A5263F" w:rsidRPr="002176CF" w:rsidRDefault="00E76F43" w:rsidP="00A5263F">
                  <w:pPr>
                    <w:jc w:val="center"/>
                    <w:rPr>
                      <w:rFonts w:ascii="Century Gothic" w:hAnsi="Century Gothic"/>
                      <w:b/>
                      <w:color w:val="595959" w:themeColor="text1" w:themeTint="A6"/>
                    </w:rPr>
                  </w:pPr>
                  <w:r>
                    <w:rPr>
                      <w:rFonts w:ascii="Century Gothic" w:hAnsi="Century Gothic"/>
                      <w:b/>
                      <w:color w:val="595959" w:themeColor="text1" w:themeTint="A6"/>
                    </w:rPr>
                    <w:t>8</w:t>
                  </w:r>
                  <w:r w:rsidR="00A5263F" w:rsidRPr="002176CF">
                    <w:rPr>
                      <w:rFonts w:ascii="Century Gothic" w:hAnsi="Century Gothic"/>
                      <w:b/>
                      <w:color w:val="595959" w:themeColor="text1" w:themeTint="A6"/>
                    </w:rPr>
                    <w:t xml:space="preserve"> CEP </w:t>
                  </w:r>
                  <w:r w:rsidR="007559B7">
                    <w:rPr>
                      <w:rFonts w:ascii="Century Gothic" w:hAnsi="Century Gothic"/>
                      <w:b/>
                      <w:color w:val="595959" w:themeColor="text1" w:themeTint="A6"/>
                    </w:rPr>
                    <w:t>POINTS</w:t>
                  </w:r>
                </w:p>
              </w:txbxContent>
            </v:textbox>
          </v:shape>
        </w:pict>
      </w:r>
    </w:p>
    <w:p w:rsidR="00B26841" w:rsidRDefault="00B26841">
      <w:pPr>
        <w:rPr>
          <w:rFonts w:asciiTheme="minorHAnsi" w:hAnsiTheme="minorHAnsi"/>
        </w:rPr>
      </w:pPr>
    </w:p>
    <w:p w:rsidR="00B26841" w:rsidRDefault="00B26841">
      <w:pPr>
        <w:rPr>
          <w:rFonts w:asciiTheme="minorHAnsi" w:hAnsiTheme="minorHAnsi"/>
        </w:rPr>
      </w:pPr>
    </w:p>
    <w:p w:rsidR="00AE7046" w:rsidRPr="00B26841" w:rsidRDefault="00AE7046">
      <w:pPr>
        <w:rPr>
          <w:rFonts w:asciiTheme="minorHAnsi" w:hAnsiTheme="minorHAnsi"/>
        </w:rPr>
        <w:sectPr w:rsidR="00AE7046" w:rsidRPr="00B26841" w:rsidSect="00800675">
          <w:type w:val="continuous"/>
          <w:pgSz w:w="11906" w:h="16838" w:code="9"/>
          <w:pgMar w:top="1440" w:right="1080" w:bottom="1440" w:left="1080" w:header="0" w:footer="0" w:gutter="0"/>
          <w:cols w:num="2" w:sep="1" w:space="567"/>
          <w:titlePg/>
          <w:docGrid w:linePitch="299"/>
        </w:sectPr>
      </w:pPr>
    </w:p>
    <w:p w:rsidR="003F6F40" w:rsidRDefault="003F6F40"/>
    <w:p w:rsidR="00204391" w:rsidRDefault="00204391"/>
    <w:p w:rsidR="00204391" w:rsidRDefault="006A5B81">
      <w:r>
        <w:rPr>
          <w:noProof/>
          <w:lang w:val="en-US"/>
        </w:rPr>
        <w:pict>
          <v:rect id="_x0000_s1133" style="position:absolute;margin-left:-30.5pt;margin-top:7.2pt;width:495.6pt;height:432.05pt;z-index:251744256" fillcolor="white [3201]" strokecolor="#f79646 [3209]" strokeweight="5pt">
            <v:stroke linestyle="thickThin"/>
            <v:shadow color="#868686"/>
            <v:textbox inset="4.5mm,3.3mm,4.5mm,3.3mm">
              <w:txbxContent>
                <w:p w:rsidR="00FE7A67" w:rsidRPr="00FE7A67" w:rsidRDefault="00FE7A67" w:rsidP="00FE7A67">
                  <w:pPr>
                    <w:jc w:val="both"/>
                    <w:rPr>
                      <w:rFonts w:asciiTheme="minorHAnsi" w:hAnsiTheme="minorHAnsi"/>
                      <w:b/>
                      <w:u w:val="single"/>
                    </w:rPr>
                  </w:pPr>
                  <w:r w:rsidRPr="00FE7A67">
                    <w:rPr>
                      <w:rFonts w:asciiTheme="minorHAnsi" w:hAnsiTheme="minorHAnsi"/>
                      <w:b/>
                      <w:u w:val="single"/>
                    </w:rPr>
                    <w:t>SPEAKER’S PROFILE</w:t>
                  </w:r>
                </w:p>
                <w:p w:rsidR="00FE7A67" w:rsidRPr="00FE7A67" w:rsidRDefault="00FE7A67" w:rsidP="00FE7A67">
                  <w:pPr>
                    <w:jc w:val="both"/>
                    <w:rPr>
                      <w:rFonts w:asciiTheme="minorHAnsi" w:hAnsiTheme="minorHAnsi"/>
                    </w:rPr>
                  </w:pPr>
                </w:p>
                <w:p w:rsidR="00FE7A67" w:rsidRPr="00FE7A67" w:rsidRDefault="00FE7A67" w:rsidP="00FE7A67">
                  <w:pPr>
                    <w:jc w:val="both"/>
                    <w:rPr>
                      <w:rFonts w:asciiTheme="minorHAnsi" w:hAnsiTheme="minorHAnsi"/>
                      <w:b/>
                    </w:rPr>
                  </w:pPr>
                  <w:r w:rsidRPr="00FE7A67">
                    <w:rPr>
                      <w:rFonts w:asciiTheme="minorHAnsi" w:hAnsiTheme="minorHAnsi"/>
                      <w:b/>
                    </w:rPr>
                    <w:t>DR. DAMIEN LIM YAT SENG</w:t>
                  </w:r>
                </w:p>
                <w:p w:rsidR="00FE7A67" w:rsidRPr="00FE7A67" w:rsidRDefault="00FE7A67" w:rsidP="00FE7A67">
                  <w:pPr>
                    <w:jc w:val="both"/>
                    <w:rPr>
                      <w:rFonts w:asciiTheme="minorHAnsi" w:hAnsiTheme="minorHAnsi"/>
                    </w:rPr>
                  </w:pPr>
                </w:p>
                <w:p w:rsidR="00FE7A67" w:rsidRPr="00FE7A67" w:rsidRDefault="00FE7A67" w:rsidP="00FE7A67">
                  <w:pPr>
                    <w:jc w:val="both"/>
                    <w:rPr>
                      <w:rFonts w:asciiTheme="minorHAnsi" w:hAnsiTheme="minorHAnsi"/>
                    </w:rPr>
                  </w:pPr>
                  <w:r w:rsidRPr="00FE7A67">
                    <w:rPr>
                      <w:rFonts w:asciiTheme="minorHAnsi" w:hAnsiTheme="minorHAnsi"/>
                    </w:rPr>
                    <w:t>Dr. Damien Lim, who has been Independent Non-Executive Director of EG Industries Bhd. since 2009, is a Chartered Accountant and a Certified Public Accountant, Masters in International Logistics Management, and a MBA in ICT.  He is also an International Registered Certified Auditor (IRCA) for ISO, EN and HACCP standards and has planned and implemented ISO QMS and EMS systems from foundation, documentation to designing custom internal controls.</w:t>
                  </w:r>
                </w:p>
                <w:p w:rsidR="00FE7A67" w:rsidRPr="00FE7A67" w:rsidRDefault="00FE7A67" w:rsidP="00FE7A67">
                  <w:pPr>
                    <w:jc w:val="both"/>
                    <w:rPr>
                      <w:rFonts w:asciiTheme="minorHAnsi" w:hAnsiTheme="minorHAnsi"/>
                    </w:rPr>
                  </w:pPr>
                </w:p>
                <w:p w:rsidR="00FE7A67" w:rsidRPr="00FE7A67" w:rsidRDefault="00FE7A67" w:rsidP="00FE7A67">
                  <w:pPr>
                    <w:jc w:val="both"/>
                    <w:rPr>
                      <w:rFonts w:asciiTheme="minorHAnsi" w:hAnsiTheme="minorHAnsi"/>
                    </w:rPr>
                  </w:pPr>
                  <w:r w:rsidRPr="00FE7A67">
                    <w:rPr>
                      <w:rFonts w:asciiTheme="minorHAnsi" w:hAnsiTheme="minorHAnsi"/>
                    </w:rPr>
                    <w:t>He has served as the management representative and is a certified lead auditor and is well versed in implementing and training ISO based EMS and QMS requirements as well as HACCP and OSHA for service, manufacturing, food and beverage, pharmaceutical, cosmetics and medical, biotechnology industries.  He is also an accomplished and experienced forensics and fraud investigations consultant specializing in fraud and dispute settlements.  He is a Certified Fraud Examiner and a member of the Association of Certified Fraud Examiners and is a certified forensics accountant and investigator.</w:t>
                  </w:r>
                </w:p>
                <w:p w:rsidR="00FE7A67" w:rsidRPr="00FE7A67" w:rsidRDefault="00FE7A67" w:rsidP="00FE7A67">
                  <w:pPr>
                    <w:jc w:val="both"/>
                    <w:rPr>
                      <w:rFonts w:asciiTheme="minorHAnsi" w:hAnsiTheme="minorHAnsi"/>
                    </w:rPr>
                  </w:pPr>
                </w:p>
                <w:p w:rsidR="00FE7A67" w:rsidRPr="00FE7A67" w:rsidRDefault="00FE7A67" w:rsidP="00FE7A67">
                  <w:pPr>
                    <w:jc w:val="both"/>
                    <w:rPr>
                      <w:rFonts w:asciiTheme="minorHAnsi" w:hAnsiTheme="minorHAnsi"/>
                    </w:rPr>
                  </w:pPr>
                  <w:r w:rsidRPr="00FE7A67">
                    <w:rPr>
                      <w:rFonts w:asciiTheme="minorHAnsi" w:hAnsiTheme="minorHAnsi"/>
                    </w:rPr>
                    <w:t xml:space="preserve">As a Senior Accountant in a multinational company, Damien was responsible for the overall implementation of the company’s new accounting system and MRP system and he has a MBA in ICT and is familiar with Business Intelligence Systems.  He performed internal operational audits on all other departments and production areas and was responsible for the overall financial health of the company compliance, public relations, accounting and taxation matters.  </w:t>
                  </w:r>
                </w:p>
                <w:p w:rsidR="00FE7A67" w:rsidRPr="00FE7A67" w:rsidRDefault="00FE7A67" w:rsidP="00FE7A67">
                  <w:pPr>
                    <w:jc w:val="both"/>
                    <w:rPr>
                      <w:rFonts w:asciiTheme="minorHAnsi" w:hAnsiTheme="minorHAnsi"/>
                    </w:rPr>
                  </w:pPr>
                </w:p>
                <w:p w:rsidR="00FE7A67" w:rsidRPr="00FE7A67" w:rsidRDefault="00FE7A67" w:rsidP="00FE7A67">
                  <w:pPr>
                    <w:jc w:val="both"/>
                    <w:rPr>
                      <w:rFonts w:asciiTheme="minorHAnsi" w:hAnsiTheme="minorHAnsi"/>
                    </w:rPr>
                  </w:pPr>
                  <w:r w:rsidRPr="00FE7A67">
                    <w:rPr>
                      <w:rFonts w:asciiTheme="minorHAnsi" w:hAnsiTheme="minorHAnsi"/>
                    </w:rPr>
                    <w:t>Extensive experience in various diverse industries such as oil &amp; gas, shipping, property development, retail &amp; hypermarket, plantations &amp; mills, investment holding, hospitality, casino, finance &amp; leasing, heavy engineering &amp; fabrication, food &amp; beverage, mining, electronics, various manufacturing and recreational clubs through considerable involvement during the statutory auditing, due diligence and consulting process of these public listed, private or government linked organizations offers varied  viewpoints of strategies that work, a unique perception on critical  matters an and an insight into many common misconceptions and thus mistakes that are made by management.</w:t>
                  </w:r>
                </w:p>
              </w:txbxContent>
            </v:textbox>
          </v:rect>
        </w:pict>
      </w:r>
    </w:p>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4B3A5D" w:rsidRDefault="004B3A5D" w:rsidP="00BC0460">
      <w:pPr>
        <w:jc w:val="both"/>
        <w:rPr>
          <w:rFonts w:asciiTheme="minorHAnsi" w:hAnsiTheme="minorHAnsi"/>
          <w:sz w:val="20"/>
        </w:rPr>
        <w:sectPr w:rsidR="004B3A5D" w:rsidSect="00FE7A67">
          <w:type w:val="continuous"/>
          <w:pgSz w:w="11906" w:h="16838" w:code="9"/>
          <w:pgMar w:top="806" w:right="922" w:bottom="900" w:left="1800" w:header="0" w:footer="0" w:gutter="0"/>
          <w:cols w:space="284"/>
          <w:titlePg/>
          <w:docGrid w:linePitch="299"/>
        </w:sectPr>
      </w:pPr>
    </w:p>
    <w:p w:rsidR="003F6F40" w:rsidRDefault="003F6F40" w:rsidP="00D90843">
      <w:pPr>
        <w:rPr>
          <w:rFonts w:asciiTheme="minorHAnsi" w:hAnsiTheme="minorHAnsi"/>
        </w:rPr>
      </w:pPr>
    </w:p>
    <w:p w:rsidR="00BA0241" w:rsidRDefault="00BA0241"/>
    <w:p w:rsidR="00BA0241" w:rsidRDefault="00BA0241"/>
    <w:p w:rsidR="00BA0241" w:rsidRDefault="00BA0241"/>
    <w:p w:rsidR="00BA0241" w:rsidRDefault="00BA0241"/>
    <w:p w:rsidR="00FE7A67" w:rsidRDefault="00FE7A67"/>
    <w:p w:rsidR="00FE7A67" w:rsidRDefault="00FE7A67"/>
    <w:p w:rsidR="00FE7A67" w:rsidRDefault="00FE7A67"/>
    <w:p w:rsidR="00FE7A67" w:rsidRDefault="00FE7A67"/>
    <w:p w:rsidR="00FE7A67" w:rsidRDefault="00FE7A67"/>
    <w:p w:rsidR="00FE7A67" w:rsidRDefault="00FE7A67"/>
    <w:p w:rsidR="00FE7A67" w:rsidRDefault="00FE7A67"/>
    <w:p w:rsidR="00FE7A67" w:rsidRDefault="00FE7A67"/>
    <w:p w:rsidR="00FE7A67" w:rsidRDefault="00FE7A67"/>
    <w:p w:rsidR="00FE7A67" w:rsidRDefault="00FE7A67"/>
    <w:p w:rsidR="00FE7A67" w:rsidRDefault="00FE7A67"/>
    <w:p w:rsidR="00FE7A67" w:rsidRDefault="00FE7A67"/>
    <w:p w:rsidR="00BA0241" w:rsidRDefault="00BA0241"/>
    <w:p w:rsidR="00BA0241" w:rsidRDefault="00BA0241"/>
    <w:p w:rsidR="00BA0241" w:rsidRDefault="00BA0241"/>
    <w:p w:rsidR="00BA0241" w:rsidRDefault="00BA0241"/>
    <w:p w:rsidR="00BA0241" w:rsidRDefault="00BA0241"/>
    <w:p w:rsidR="00BA0241" w:rsidRDefault="00BA0241"/>
    <w:p w:rsidR="00BA0241" w:rsidRDefault="00BA0241"/>
    <w:p w:rsidR="00BA0241" w:rsidRDefault="00BA0241"/>
    <w:p w:rsidR="00BA0241" w:rsidRDefault="00BA0241"/>
    <w:p w:rsidR="00BA0241" w:rsidRDefault="00BA0241"/>
    <w:p w:rsidR="00AE7046" w:rsidRDefault="00AE7046"/>
    <w:p w:rsidR="002176CF" w:rsidRDefault="002176CF"/>
    <w:p w:rsidR="002176CF" w:rsidRDefault="002176CF"/>
    <w:p w:rsidR="002176CF" w:rsidRDefault="002176CF">
      <w:pPr>
        <w:sectPr w:rsidR="002176CF" w:rsidSect="00FE7A67">
          <w:type w:val="continuous"/>
          <w:pgSz w:w="11906" w:h="16838" w:code="9"/>
          <w:pgMar w:top="806" w:right="922" w:bottom="900" w:left="1800" w:header="0" w:footer="0" w:gutter="0"/>
          <w:cols w:space="284"/>
          <w:titlePg/>
          <w:docGrid w:linePitch="299"/>
        </w:sect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0D57B6" w:rsidRDefault="00F57DF7" w:rsidP="00321A2B">
      <w:pPr>
        <w:jc w:val="center"/>
        <w:rPr>
          <w:rFonts w:asciiTheme="minorHAnsi" w:hAnsiTheme="minorHAnsi"/>
          <w:sz w:val="24"/>
          <w:szCs w:val="24"/>
        </w:rPr>
      </w:pPr>
      <w:r w:rsidRPr="00F57DF7">
        <w:rPr>
          <w:rFonts w:asciiTheme="majorHAnsi" w:eastAsiaTheme="majorEastAsia" w:hAnsiTheme="majorHAnsi" w:cstheme="majorBidi"/>
          <w:b/>
          <w:bCs/>
          <w:color w:val="365F91" w:themeColor="accent1" w:themeShade="BF"/>
          <w:sz w:val="36"/>
          <w:szCs w:val="36"/>
        </w:rPr>
        <w:t>A Director’s Perspective On Integrated Reporting</w:t>
      </w:r>
      <w:r w:rsidR="006807E9">
        <w:rPr>
          <w:rFonts w:asciiTheme="minorHAnsi" w:hAnsiTheme="minorHAnsi"/>
          <w:sz w:val="24"/>
          <w:szCs w:val="24"/>
        </w:rPr>
        <w:br/>
      </w:r>
      <w:r w:rsidR="000D57B6">
        <w:rPr>
          <w:rFonts w:asciiTheme="minorHAnsi" w:hAnsiTheme="minorHAnsi"/>
          <w:sz w:val="24"/>
          <w:szCs w:val="24"/>
        </w:rPr>
        <w:t>0900 – 1</w:t>
      </w:r>
      <w:r>
        <w:rPr>
          <w:rFonts w:asciiTheme="minorHAnsi" w:hAnsiTheme="minorHAnsi"/>
          <w:sz w:val="24"/>
          <w:szCs w:val="24"/>
        </w:rPr>
        <w:t>7</w:t>
      </w:r>
      <w:r w:rsidR="003954D3">
        <w:rPr>
          <w:rFonts w:asciiTheme="minorHAnsi" w:hAnsiTheme="minorHAnsi"/>
          <w:sz w:val="24"/>
          <w:szCs w:val="24"/>
        </w:rPr>
        <w:t>00</w:t>
      </w:r>
      <w:r w:rsidR="00C706E0">
        <w:rPr>
          <w:rFonts w:asciiTheme="minorHAnsi" w:hAnsiTheme="minorHAnsi"/>
          <w:sz w:val="24"/>
          <w:szCs w:val="24"/>
        </w:rPr>
        <w:t xml:space="preserve"> hours</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6A5B81">
      <w:pPr>
        <w:rPr>
          <w:rFonts w:asciiTheme="minorHAnsi" w:hAnsiTheme="minorHAnsi"/>
          <w:sz w:val="24"/>
          <w:szCs w:val="24"/>
        </w:rPr>
      </w:pPr>
      <w:r w:rsidRPr="006A5B81">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250"/>
        <w:gridCol w:w="2693"/>
        <w:gridCol w:w="284"/>
        <w:gridCol w:w="425"/>
        <w:gridCol w:w="284"/>
        <w:gridCol w:w="1559"/>
        <w:gridCol w:w="283"/>
        <w:gridCol w:w="1559"/>
      </w:tblGrid>
      <w:tr w:rsidR="00FB169B" w:rsidRPr="00E76169" w:rsidTr="00321A2B">
        <w:tc>
          <w:tcPr>
            <w:tcW w:w="250" w:type="dxa"/>
          </w:tcPr>
          <w:p w:rsidR="00FB169B" w:rsidRPr="00E76169" w:rsidRDefault="006A5B81" w:rsidP="00D102CC">
            <w:pPr>
              <w:rPr>
                <w:rFonts w:asciiTheme="minorHAnsi" w:hAnsiTheme="minorHAnsi"/>
                <w:sz w:val="24"/>
                <w:szCs w:val="24"/>
                <w:lang w:val="en-US"/>
              </w:rPr>
            </w:pPr>
            <w:r>
              <w:rPr>
                <w:rFonts w:asciiTheme="minorHAnsi" w:hAnsiTheme="minorHAnsi"/>
                <w:noProof/>
                <w:sz w:val="24"/>
                <w:szCs w:val="24"/>
                <w:lang w:val="en-US"/>
              </w:rPr>
              <w:pict>
                <v:rect id="_x0000_s1123" style="position:absolute;margin-left:-5.25pt;margin-top:0;width:10.65pt;height:10.05pt;z-index:251739136;mso-position-vertical:bottom;mso-position-vertical-relative:margin">
                  <v:shadow on="t" offset=",3pt" offset2=",2pt"/>
                  <w10:wrap anchory="margin"/>
                </v:rect>
              </w:pict>
            </w:r>
          </w:p>
        </w:tc>
        <w:tc>
          <w:tcPr>
            <w:tcW w:w="2693" w:type="dxa"/>
          </w:tcPr>
          <w:p w:rsidR="00FB169B" w:rsidRPr="00E76169" w:rsidRDefault="00321A2B" w:rsidP="00A87275">
            <w:pPr>
              <w:rPr>
                <w:rFonts w:asciiTheme="minorHAnsi" w:hAnsiTheme="minorHAnsi"/>
                <w:sz w:val="24"/>
                <w:szCs w:val="24"/>
                <w:lang w:val="en-US"/>
              </w:rPr>
            </w:pPr>
            <w:r>
              <w:rPr>
                <w:rFonts w:asciiTheme="minorHAnsi" w:hAnsiTheme="minorHAnsi"/>
                <w:sz w:val="24"/>
                <w:szCs w:val="24"/>
                <w:lang w:val="en-US"/>
              </w:rPr>
              <w:t>2</w:t>
            </w:r>
            <w:r w:rsidR="00A87275">
              <w:rPr>
                <w:rFonts w:asciiTheme="minorHAnsi" w:hAnsiTheme="minorHAnsi"/>
                <w:sz w:val="24"/>
                <w:szCs w:val="24"/>
                <w:lang w:val="en-US"/>
              </w:rPr>
              <w:t>6</w:t>
            </w:r>
            <w:r w:rsidRPr="00321A2B">
              <w:rPr>
                <w:rFonts w:asciiTheme="minorHAnsi" w:hAnsiTheme="minorHAnsi"/>
                <w:sz w:val="24"/>
                <w:szCs w:val="24"/>
                <w:vertAlign w:val="superscript"/>
                <w:lang w:val="en-US"/>
              </w:rPr>
              <w:t>th</w:t>
            </w:r>
            <w:r>
              <w:rPr>
                <w:rFonts w:asciiTheme="minorHAnsi" w:hAnsiTheme="minorHAnsi"/>
                <w:sz w:val="24"/>
                <w:szCs w:val="24"/>
                <w:lang w:val="en-US"/>
              </w:rPr>
              <w:t xml:space="preserve"> </w:t>
            </w:r>
            <w:r w:rsidR="00A87275">
              <w:rPr>
                <w:rFonts w:asciiTheme="minorHAnsi" w:hAnsiTheme="minorHAnsi"/>
                <w:sz w:val="24"/>
                <w:szCs w:val="24"/>
                <w:lang w:val="en-US"/>
              </w:rPr>
              <w:t>September</w:t>
            </w:r>
            <w:r>
              <w:rPr>
                <w:rFonts w:asciiTheme="minorHAnsi" w:hAnsiTheme="minorHAnsi"/>
                <w:sz w:val="24"/>
                <w:szCs w:val="24"/>
                <w:lang w:val="en-US"/>
              </w:rPr>
              <w:t xml:space="preserve"> 2016</w:t>
            </w:r>
          </w:p>
        </w:tc>
        <w:tc>
          <w:tcPr>
            <w:tcW w:w="284" w:type="dxa"/>
          </w:tcPr>
          <w:p w:rsidR="00FB169B" w:rsidRPr="00E76169" w:rsidRDefault="00FB169B" w:rsidP="00D102CC">
            <w:pPr>
              <w:rPr>
                <w:rFonts w:asciiTheme="minorHAnsi" w:hAnsiTheme="minorHAnsi"/>
                <w:sz w:val="24"/>
                <w:szCs w:val="24"/>
                <w:lang w:val="en-US"/>
              </w:rPr>
            </w:pPr>
          </w:p>
        </w:tc>
        <w:tc>
          <w:tcPr>
            <w:tcW w:w="425" w:type="dxa"/>
          </w:tcPr>
          <w:p w:rsidR="00FB169B" w:rsidRPr="00E76169" w:rsidRDefault="00FB169B" w:rsidP="001969FF">
            <w:pPr>
              <w:rPr>
                <w:rFonts w:asciiTheme="minorHAnsi" w:hAnsiTheme="minorHAnsi"/>
                <w:sz w:val="24"/>
                <w:szCs w:val="24"/>
                <w:lang w:val="en-US"/>
              </w:rPr>
            </w:pPr>
          </w:p>
        </w:tc>
        <w:tc>
          <w:tcPr>
            <w:tcW w:w="284" w:type="dxa"/>
          </w:tcPr>
          <w:p w:rsidR="00FB169B" w:rsidRPr="00E76169" w:rsidRDefault="00FB169B" w:rsidP="00D102CC">
            <w:pPr>
              <w:rPr>
                <w:rFonts w:asciiTheme="minorHAnsi" w:hAnsiTheme="minorHAnsi"/>
                <w:sz w:val="24"/>
                <w:szCs w:val="24"/>
                <w:lang w:val="en-US"/>
              </w:rPr>
            </w:pPr>
          </w:p>
        </w:tc>
        <w:tc>
          <w:tcPr>
            <w:tcW w:w="1559" w:type="dxa"/>
          </w:tcPr>
          <w:p w:rsidR="00FB169B" w:rsidRPr="00E76169" w:rsidRDefault="00FB169B" w:rsidP="00D102CC">
            <w:pPr>
              <w:rPr>
                <w:rFonts w:asciiTheme="minorHAnsi" w:hAnsiTheme="minorHAnsi"/>
                <w:sz w:val="24"/>
                <w:szCs w:val="24"/>
                <w:lang w:val="en-US"/>
              </w:rPr>
            </w:pPr>
          </w:p>
        </w:tc>
        <w:tc>
          <w:tcPr>
            <w:tcW w:w="283" w:type="dxa"/>
          </w:tcPr>
          <w:p w:rsidR="00FB169B" w:rsidRDefault="00FB169B" w:rsidP="00D102CC">
            <w:pPr>
              <w:rPr>
                <w:rFonts w:asciiTheme="minorHAnsi" w:hAnsiTheme="minorHAnsi"/>
                <w:sz w:val="24"/>
                <w:szCs w:val="24"/>
                <w:lang w:val="en-US"/>
              </w:rPr>
            </w:pPr>
          </w:p>
        </w:tc>
        <w:tc>
          <w:tcPr>
            <w:tcW w:w="1559" w:type="dxa"/>
          </w:tcPr>
          <w:p w:rsidR="00FB169B" w:rsidRDefault="00FB169B" w:rsidP="00D102CC">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6A5B81" w:rsidP="00E76169">
      <w:pPr>
        <w:rPr>
          <w:rFonts w:asciiTheme="minorHAnsi" w:hAnsiTheme="minorHAnsi"/>
          <w:sz w:val="24"/>
          <w:szCs w:val="24"/>
        </w:rPr>
      </w:pPr>
      <w:r w:rsidRPr="006A5B81">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1969FF" w:rsidRDefault="006A5B81" w:rsidP="00C97D66">
      <w:pPr>
        <w:jc w:val="center"/>
        <w:rPr>
          <w:rFonts w:asciiTheme="minorHAnsi" w:hAnsiTheme="minorHAnsi"/>
          <w:noProof/>
          <w:sz w:val="24"/>
          <w:szCs w:val="24"/>
          <w:lang w:val="en-US"/>
        </w:rPr>
      </w:pPr>
      <w:r>
        <w:rPr>
          <w:rFonts w:asciiTheme="minorHAnsi" w:hAnsiTheme="minorHAnsi"/>
          <w:noProof/>
          <w:sz w:val="24"/>
          <w:szCs w:val="24"/>
          <w:lang w:val="en-US"/>
        </w:rPr>
        <w:pict>
          <v:shape id="_x0000_s1062" type="#_x0000_t55" style="position:absolute;left:0;text-align:left;margin-left:-17.8pt;margin-top:.2pt;width:11.05pt;height:16.85pt;z-index:251667456" strokecolor="#548dd4"/>
        </w:pict>
      </w:r>
      <w:r w:rsidR="00C97D66" w:rsidRPr="00E94F5F">
        <w:rPr>
          <w:rFonts w:asciiTheme="minorHAnsi" w:hAnsiTheme="minorHAnsi"/>
          <w:noProof/>
          <w:sz w:val="24"/>
          <w:szCs w:val="24"/>
          <w:lang w:val="en-US"/>
        </w:rPr>
        <w:t xml:space="preserve">TO REGISTER, </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PLEASE CALL</w:t>
      </w:r>
      <w:r w:rsidR="001969FF">
        <w:rPr>
          <w:rFonts w:asciiTheme="minorHAnsi" w:hAnsiTheme="minorHAnsi"/>
          <w:noProof/>
          <w:sz w:val="24"/>
          <w:szCs w:val="24"/>
          <w:lang w:val="en-US"/>
        </w:rPr>
        <w:t xml:space="preserve"> 03-7958 8001 / 03-7958 8002 OR</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FAX REGISTRATION FORM TO:</w:t>
      </w:r>
      <w:r w:rsidR="001969FF">
        <w:rPr>
          <w:rFonts w:asciiTheme="minorHAnsi" w:hAnsiTheme="minorHAnsi"/>
          <w:noProof/>
          <w:sz w:val="24"/>
          <w:szCs w:val="24"/>
          <w:lang w:val="en-US"/>
        </w:rPr>
        <w:t xml:space="preserve"> </w:t>
      </w:r>
      <w:r w:rsidR="00A72244">
        <w:rPr>
          <w:rFonts w:asciiTheme="minorHAnsi" w:hAnsiTheme="minorHAnsi"/>
          <w:noProof/>
          <w:sz w:val="24"/>
          <w:szCs w:val="24"/>
          <w:lang w:val="en-US"/>
        </w:rPr>
        <w:t>03-7954 8001</w:t>
      </w:r>
      <w:r w:rsidRPr="00E94F5F">
        <w:rPr>
          <w:rFonts w:asciiTheme="minorHAnsi" w:hAnsiTheme="minorHAnsi"/>
          <w:noProof/>
          <w:sz w:val="24"/>
          <w:szCs w:val="24"/>
          <w:lang w:val="en-US"/>
        </w:rPr>
        <w:t xml:space="preserve"> OR</w:t>
      </w:r>
    </w:p>
    <w:p w:rsidR="00C97D66" w:rsidRPr="00C97D66" w:rsidRDefault="00C97D66" w:rsidP="00C97D66">
      <w:pPr>
        <w:jc w:val="center"/>
        <w:rPr>
          <w:rFonts w:asciiTheme="minorHAnsi" w:hAnsiTheme="minorHAnsi"/>
          <w:noProof/>
          <w:color w:val="548DD4" w:themeColor="text2" w:themeTint="99"/>
          <w:sz w:val="24"/>
          <w:szCs w:val="24"/>
          <w:lang w:val="en-US"/>
        </w:rPr>
      </w:pPr>
      <w:r w:rsidRPr="00E94F5F">
        <w:rPr>
          <w:rFonts w:asciiTheme="minorHAnsi" w:hAnsiTheme="minorHAnsi"/>
          <w:noProof/>
          <w:sz w:val="24"/>
          <w:szCs w:val="24"/>
          <w:lang w:val="en-US"/>
        </w:rPr>
        <w:t xml:space="preserve">E-MAIL TO: </w:t>
      </w:r>
      <w:r w:rsidR="00F57DF7">
        <w:rPr>
          <w:rFonts w:asciiTheme="minorHAnsi" w:hAnsiTheme="minorHAnsi"/>
          <w:noProof/>
          <w:sz w:val="24"/>
          <w:szCs w:val="24"/>
          <w:lang w:val="en-US"/>
        </w:rPr>
        <w:t>sophiah</w:t>
      </w:r>
      <w:r w:rsidRPr="00E94F5F">
        <w:rPr>
          <w:rFonts w:asciiTheme="minorHAnsi" w:hAnsiTheme="minorHAnsi"/>
          <w:noProof/>
          <w:sz w:val="24"/>
          <w:szCs w:val="24"/>
          <w:lang w:val="en-US"/>
        </w:rPr>
        <w:t>@bursatra.com.my</w:t>
      </w:r>
    </w:p>
    <w:p w:rsidR="00E76169" w:rsidRDefault="006A5B81" w:rsidP="00E76169">
      <w:pPr>
        <w:jc w:val="center"/>
        <w:rPr>
          <w:rFonts w:asciiTheme="minorHAnsi" w:hAnsiTheme="minorHAnsi"/>
          <w:sz w:val="24"/>
          <w:szCs w:val="24"/>
        </w:rPr>
      </w:pPr>
      <w:r>
        <w:rPr>
          <w:rFonts w:asciiTheme="minorHAnsi" w:hAnsiTheme="minorHAnsi"/>
          <w:noProof/>
          <w:sz w:val="24"/>
          <w:szCs w:val="24"/>
          <w:lang w:val="en-US"/>
        </w:rPr>
        <w:pict>
          <v:roundrect id="_x0000_s1130" style="position:absolute;left:0;text-align:left;margin-left:-17.8pt;margin-top:10.2pt;width:459.85pt;height:50.25pt;z-index:251742208" arcsize="10923f" fillcolor="white [3201]" strokecolor="#f79646 [3209]" strokeweight="1pt">
            <v:stroke dashstyle="dash"/>
            <v:shadow color="#868686"/>
            <v:textbox>
              <w:txbxContent>
                <w:p w:rsidR="002176CF" w:rsidRPr="00BC0460" w:rsidRDefault="002176CF" w:rsidP="002176CF">
                  <w:pPr>
                    <w:ind w:left="284"/>
                    <w:jc w:val="both"/>
                    <w:rPr>
                      <w:rFonts w:asciiTheme="minorHAnsi" w:hAnsiTheme="minorHAnsi"/>
                      <w:i/>
                      <w:sz w:val="20"/>
                    </w:rPr>
                  </w:pPr>
                  <w:r w:rsidRPr="00BC0460">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2176CF" w:rsidRDefault="002176CF"/>
              </w:txbxContent>
            </v:textbox>
          </v:roundrect>
        </w:pict>
      </w:r>
    </w:p>
    <w:p w:rsidR="002176CF" w:rsidRDefault="002176CF" w:rsidP="00E76169">
      <w:pPr>
        <w:jc w:val="center"/>
        <w:rPr>
          <w:rFonts w:asciiTheme="minorHAnsi" w:hAnsiTheme="minorHAnsi"/>
          <w:sz w:val="24"/>
          <w:szCs w:val="24"/>
        </w:rPr>
      </w:pPr>
    </w:p>
    <w:p w:rsidR="007559B7" w:rsidRDefault="007559B7" w:rsidP="00E76169">
      <w:pPr>
        <w:jc w:val="center"/>
        <w:rPr>
          <w:rFonts w:asciiTheme="minorHAnsi" w:hAnsiTheme="minorHAnsi"/>
          <w:sz w:val="24"/>
          <w:szCs w:val="24"/>
        </w:rPr>
      </w:pPr>
    </w:p>
    <w:p w:rsidR="007559B7" w:rsidRDefault="007559B7" w:rsidP="00E76169">
      <w:pPr>
        <w:jc w:val="center"/>
        <w:rPr>
          <w:rFonts w:asciiTheme="minorHAnsi" w:hAnsiTheme="minorHAnsi"/>
          <w:sz w:val="24"/>
          <w:szCs w:val="24"/>
        </w:rPr>
      </w:pPr>
    </w:p>
    <w:p w:rsidR="007559B7" w:rsidRDefault="007559B7" w:rsidP="00E76169">
      <w:pPr>
        <w:jc w:val="center"/>
        <w:rPr>
          <w:rFonts w:asciiTheme="minorHAnsi" w:hAnsiTheme="minorHAnsi"/>
          <w:sz w:val="24"/>
          <w:szCs w:val="24"/>
        </w:rPr>
      </w:pPr>
    </w:p>
    <w:p w:rsidR="007559B7" w:rsidRDefault="007559B7" w:rsidP="00E76169">
      <w:pPr>
        <w:jc w:val="center"/>
        <w:rPr>
          <w:rFonts w:asciiTheme="minorHAnsi" w:hAnsiTheme="minorHAnsi"/>
          <w:sz w:val="24"/>
          <w:szCs w:val="24"/>
        </w:rPr>
      </w:pPr>
    </w:p>
    <w:p w:rsidR="007559B7" w:rsidRPr="007559B7" w:rsidRDefault="007559B7" w:rsidP="00E76169">
      <w:pPr>
        <w:jc w:val="center"/>
        <w:rPr>
          <w:rFonts w:asciiTheme="minorHAnsi" w:hAnsiTheme="minorHAnsi"/>
          <w:sz w:val="20"/>
        </w:rPr>
      </w:pPr>
      <w:r w:rsidRPr="007559B7">
        <w:rPr>
          <w:rFonts w:asciiTheme="minorHAnsi" w:hAnsiTheme="minorHAnsi"/>
          <w:sz w:val="20"/>
        </w:rPr>
        <w:t>BURSATRA SDN BHD IS A REGISTERED TRAINING PROVIDER WITH PSMB (Reg. No: 520353-U)</w:t>
      </w:r>
    </w:p>
    <w:sectPr w:rsidR="007559B7" w:rsidRPr="007559B7" w:rsidSect="00800675">
      <w:type w:val="continuous"/>
      <w:pgSz w:w="11906" w:h="16838" w:code="9"/>
      <w:pgMar w:top="1440" w:right="1440" w:bottom="1440" w:left="1440"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931" w:rsidRDefault="00D20931">
      <w:r>
        <w:separator/>
      </w:r>
    </w:p>
  </w:endnote>
  <w:endnote w:type="continuationSeparator" w:id="1">
    <w:p w:rsidR="00D20931" w:rsidRDefault="00D209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931" w:rsidRDefault="00D20931">
      <w:r>
        <w:separator/>
      </w:r>
    </w:p>
  </w:footnote>
  <w:footnote w:type="continuationSeparator" w:id="1">
    <w:p w:rsidR="00D20931" w:rsidRDefault="00D209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6A5B8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6A5B81" w:rsidP="00C24690">
    <w:pPr>
      <w:pStyle w:val="Heading5"/>
      <w:ind w:left="-810" w:hanging="90"/>
      <w:rPr>
        <w:rFonts w:ascii="Century Gothic" w:hAnsi="Century Gothic"/>
        <w:i w:val="0"/>
        <w:iCs/>
        <w:sz w:val="24"/>
        <w:szCs w:val="24"/>
      </w:rPr>
    </w:pPr>
    <w:r w:rsidRPr="006A5B8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6A5B8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44E8"/>
    <w:multiLevelType w:val="hybridMultilevel"/>
    <w:tmpl w:val="6F5EFD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91A88"/>
    <w:multiLevelType w:val="hybridMultilevel"/>
    <w:tmpl w:val="AF68B93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84EB6"/>
    <w:multiLevelType w:val="hybridMultilevel"/>
    <w:tmpl w:val="E08E5E2A"/>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E381C"/>
    <w:multiLevelType w:val="hybridMultilevel"/>
    <w:tmpl w:val="31DE7020"/>
    <w:lvl w:ilvl="0" w:tplc="CED0B3E2">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E868FE"/>
    <w:multiLevelType w:val="hybridMultilevel"/>
    <w:tmpl w:val="39E21E4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9F563A"/>
    <w:multiLevelType w:val="hybridMultilevel"/>
    <w:tmpl w:val="49A0CCE6"/>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1E1549"/>
    <w:multiLevelType w:val="hybridMultilevel"/>
    <w:tmpl w:val="7A0A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34C239AF"/>
    <w:multiLevelType w:val="hybridMultilevel"/>
    <w:tmpl w:val="3D4A8DC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5821AC"/>
    <w:multiLevelType w:val="hybridMultilevel"/>
    <w:tmpl w:val="09C4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466901"/>
    <w:multiLevelType w:val="hybridMultilevel"/>
    <w:tmpl w:val="9C1438AE"/>
    <w:lvl w:ilvl="0" w:tplc="CED0B3E2">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A65064"/>
    <w:multiLevelType w:val="hybridMultilevel"/>
    <w:tmpl w:val="9428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8D200A"/>
    <w:multiLevelType w:val="hybridMultilevel"/>
    <w:tmpl w:val="8E90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8E0968"/>
    <w:multiLevelType w:val="hybridMultilevel"/>
    <w:tmpl w:val="08E8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0965AF"/>
    <w:multiLevelType w:val="hybridMultilevel"/>
    <w:tmpl w:val="78AE474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A1E31F3"/>
    <w:multiLevelType w:val="hybridMultilevel"/>
    <w:tmpl w:val="A65A65A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15"/>
  </w:num>
  <w:num w:numId="4">
    <w:abstractNumId w:val="12"/>
  </w:num>
  <w:num w:numId="5">
    <w:abstractNumId w:val="2"/>
  </w:num>
  <w:num w:numId="6">
    <w:abstractNumId w:val="14"/>
  </w:num>
  <w:num w:numId="7">
    <w:abstractNumId w:val="8"/>
  </w:num>
  <w:num w:numId="8">
    <w:abstractNumId w:val="5"/>
  </w:num>
  <w:num w:numId="9">
    <w:abstractNumId w:val="4"/>
  </w:num>
  <w:num w:numId="10">
    <w:abstractNumId w:val="1"/>
  </w:num>
  <w:num w:numId="11">
    <w:abstractNumId w:val="6"/>
  </w:num>
  <w:num w:numId="12">
    <w:abstractNumId w:val="10"/>
  </w:num>
  <w:num w:numId="13">
    <w:abstractNumId w:val="3"/>
  </w:num>
  <w:num w:numId="14">
    <w:abstractNumId w:val="11"/>
  </w:num>
  <w:num w:numId="15">
    <w:abstractNumId w:val="9"/>
  </w:num>
  <w:num w:numId="16">
    <w:abstractNumId w:val="17"/>
  </w:num>
  <w:num w:numId="17">
    <w:abstractNumId w:val="0"/>
  </w:num>
  <w:num w:numId="18">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6146">
      <o:colormru v:ext="edit" colors="#eaeaea,aqua,#ffb9b9"/>
      <o:colormenu v:ext="edit" fillcolor="#ffb9b9" strokecolor="none"/>
    </o:shapedefaults>
    <o:shapelayout v:ext="edit">
      <o:idmap v:ext="edit" data="2"/>
    </o:shapelayout>
  </w:hdrShapeDefaults>
  <w:footnotePr>
    <w:footnote w:id="0"/>
    <w:footnote w:id="1"/>
  </w:footnotePr>
  <w:endnotePr>
    <w:endnote w:id="0"/>
    <w:endnote w:id="1"/>
  </w:endnotePr>
  <w:compat/>
  <w:rsids>
    <w:rsidRoot w:val="0027004C"/>
    <w:rsid w:val="00021E8B"/>
    <w:rsid w:val="00027834"/>
    <w:rsid w:val="00030DBF"/>
    <w:rsid w:val="000326D8"/>
    <w:rsid w:val="0005161D"/>
    <w:rsid w:val="00052E16"/>
    <w:rsid w:val="0005342B"/>
    <w:rsid w:val="000552B0"/>
    <w:rsid w:val="00062A25"/>
    <w:rsid w:val="0007186D"/>
    <w:rsid w:val="00075DF3"/>
    <w:rsid w:val="00081B8C"/>
    <w:rsid w:val="00082CA1"/>
    <w:rsid w:val="00093A93"/>
    <w:rsid w:val="000B2E94"/>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11448"/>
    <w:rsid w:val="00116013"/>
    <w:rsid w:val="00120F5D"/>
    <w:rsid w:val="001215E3"/>
    <w:rsid w:val="001235DF"/>
    <w:rsid w:val="00133138"/>
    <w:rsid w:val="0013504A"/>
    <w:rsid w:val="001361FB"/>
    <w:rsid w:val="00136C30"/>
    <w:rsid w:val="00137940"/>
    <w:rsid w:val="00141FD8"/>
    <w:rsid w:val="001425E0"/>
    <w:rsid w:val="00147163"/>
    <w:rsid w:val="001477AC"/>
    <w:rsid w:val="00154BFB"/>
    <w:rsid w:val="00166D1E"/>
    <w:rsid w:val="00173979"/>
    <w:rsid w:val="001836DC"/>
    <w:rsid w:val="00190E5B"/>
    <w:rsid w:val="00191FD2"/>
    <w:rsid w:val="001925E8"/>
    <w:rsid w:val="00195DEF"/>
    <w:rsid w:val="001969F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391"/>
    <w:rsid w:val="00204BB5"/>
    <w:rsid w:val="002056C2"/>
    <w:rsid w:val="00214F22"/>
    <w:rsid w:val="00216333"/>
    <w:rsid w:val="002176CF"/>
    <w:rsid w:val="0022291C"/>
    <w:rsid w:val="0024105E"/>
    <w:rsid w:val="002473F6"/>
    <w:rsid w:val="002513A9"/>
    <w:rsid w:val="00254A86"/>
    <w:rsid w:val="00257F18"/>
    <w:rsid w:val="002615DC"/>
    <w:rsid w:val="00261F6C"/>
    <w:rsid w:val="00263515"/>
    <w:rsid w:val="0027004C"/>
    <w:rsid w:val="00271DB0"/>
    <w:rsid w:val="00273912"/>
    <w:rsid w:val="002847B9"/>
    <w:rsid w:val="00285033"/>
    <w:rsid w:val="002922F8"/>
    <w:rsid w:val="00292CBC"/>
    <w:rsid w:val="00294201"/>
    <w:rsid w:val="00294AB9"/>
    <w:rsid w:val="002960C2"/>
    <w:rsid w:val="002963BA"/>
    <w:rsid w:val="00296D32"/>
    <w:rsid w:val="002A2C29"/>
    <w:rsid w:val="002A4F34"/>
    <w:rsid w:val="002B2C67"/>
    <w:rsid w:val="002C286F"/>
    <w:rsid w:val="002C3D91"/>
    <w:rsid w:val="002C6264"/>
    <w:rsid w:val="002D152D"/>
    <w:rsid w:val="002D1EA7"/>
    <w:rsid w:val="002D40CE"/>
    <w:rsid w:val="002D76A9"/>
    <w:rsid w:val="002E6DF0"/>
    <w:rsid w:val="002E6DF1"/>
    <w:rsid w:val="002F32AA"/>
    <w:rsid w:val="002F629E"/>
    <w:rsid w:val="002F679A"/>
    <w:rsid w:val="003215CC"/>
    <w:rsid w:val="00321A2B"/>
    <w:rsid w:val="00323457"/>
    <w:rsid w:val="00324A08"/>
    <w:rsid w:val="003300F6"/>
    <w:rsid w:val="003324DF"/>
    <w:rsid w:val="00336392"/>
    <w:rsid w:val="0034120C"/>
    <w:rsid w:val="00350723"/>
    <w:rsid w:val="0035263B"/>
    <w:rsid w:val="00357AC4"/>
    <w:rsid w:val="00365E83"/>
    <w:rsid w:val="003670C1"/>
    <w:rsid w:val="003673E3"/>
    <w:rsid w:val="003712FB"/>
    <w:rsid w:val="003739F2"/>
    <w:rsid w:val="00383D4B"/>
    <w:rsid w:val="00387325"/>
    <w:rsid w:val="00387974"/>
    <w:rsid w:val="00387DD8"/>
    <w:rsid w:val="003930BC"/>
    <w:rsid w:val="00394B45"/>
    <w:rsid w:val="003954D3"/>
    <w:rsid w:val="00396CCE"/>
    <w:rsid w:val="003A2DB5"/>
    <w:rsid w:val="003A7382"/>
    <w:rsid w:val="003B0F4B"/>
    <w:rsid w:val="003B3940"/>
    <w:rsid w:val="003B49DF"/>
    <w:rsid w:val="003C4202"/>
    <w:rsid w:val="003E086B"/>
    <w:rsid w:val="003E2AB7"/>
    <w:rsid w:val="003F3712"/>
    <w:rsid w:val="003F41F3"/>
    <w:rsid w:val="003F681A"/>
    <w:rsid w:val="003F6F40"/>
    <w:rsid w:val="003F7192"/>
    <w:rsid w:val="004032DA"/>
    <w:rsid w:val="0040695E"/>
    <w:rsid w:val="00410606"/>
    <w:rsid w:val="00410B3A"/>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1756"/>
    <w:rsid w:val="004A3CE9"/>
    <w:rsid w:val="004B0856"/>
    <w:rsid w:val="004B1463"/>
    <w:rsid w:val="004B250B"/>
    <w:rsid w:val="004B332B"/>
    <w:rsid w:val="004B3A5D"/>
    <w:rsid w:val="004D135F"/>
    <w:rsid w:val="004D5038"/>
    <w:rsid w:val="004E0773"/>
    <w:rsid w:val="004E6547"/>
    <w:rsid w:val="004E68AD"/>
    <w:rsid w:val="004E71E2"/>
    <w:rsid w:val="004F0317"/>
    <w:rsid w:val="004F74FF"/>
    <w:rsid w:val="00502E5F"/>
    <w:rsid w:val="005075DC"/>
    <w:rsid w:val="0051007A"/>
    <w:rsid w:val="00517605"/>
    <w:rsid w:val="005234A8"/>
    <w:rsid w:val="005335E3"/>
    <w:rsid w:val="0053521C"/>
    <w:rsid w:val="005404B1"/>
    <w:rsid w:val="00541103"/>
    <w:rsid w:val="005451F7"/>
    <w:rsid w:val="005632EC"/>
    <w:rsid w:val="00567340"/>
    <w:rsid w:val="00571075"/>
    <w:rsid w:val="005711E9"/>
    <w:rsid w:val="005746AE"/>
    <w:rsid w:val="00577284"/>
    <w:rsid w:val="0058399C"/>
    <w:rsid w:val="00591A8D"/>
    <w:rsid w:val="00593F8E"/>
    <w:rsid w:val="005967A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479E6"/>
    <w:rsid w:val="006504C0"/>
    <w:rsid w:val="00650566"/>
    <w:rsid w:val="00660E13"/>
    <w:rsid w:val="00662851"/>
    <w:rsid w:val="0066434D"/>
    <w:rsid w:val="00670C30"/>
    <w:rsid w:val="0067124E"/>
    <w:rsid w:val="00671D35"/>
    <w:rsid w:val="00672847"/>
    <w:rsid w:val="00675E1C"/>
    <w:rsid w:val="0067733A"/>
    <w:rsid w:val="006807E9"/>
    <w:rsid w:val="00683D68"/>
    <w:rsid w:val="00687724"/>
    <w:rsid w:val="00692BA4"/>
    <w:rsid w:val="00693074"/>
    <w:rsid w:val="0069358A"/>
    <w:rsid w:val="00693D58"/>
    <w:rsid w:val="00696AB3"/>
    <w:rsid w:val="006A1CE8"/>
    <w:rsid w:val="006A299A"/>
    <w:rsid w:val="006A5B81"/>
    <w:rsid w:val="006B11CB"/>
    <w:rsid w:val="006C21AD"/>
    <w:rsid w:val="006C3FD2"/>
    <w:rsid w:val="006C5CB2"/>
    <w:rsid w:val="006D77A2"/>
    <w:rsid w:val="006E2F0B"/>
    <w:rsid w:val="006F5FAE"/>
    <w:rsid w:val="0070458F"/>
    <w:rsid w:val="007063EE"/>
    <w:rsid w:val="00706FF6"/>
    <w:rsid w:val="007137FB"/>
    <w:rsid w:val="007158D1"/>
    <w:rsid w:val="00722C3F"/>
    <w:rsid w:val="00726DBB"/>
    <w:rsid w:val="0074177E"/>
    <w:rsid w:val="00742723"/>
    <w:rsid w:val="007466BC"/>
    <w:rsid w:val="007559B7"/>
    <w:rsid w:val="00764168"/>
    <w:rsid w:val="00777EB1"/>
    <w:rsid w:val="00782EDD"/>
    <w:rsid w:val="00784BD4"/>
    <w:rsid w:val="0079153F"/>
    <w:rsid w:val="0079258D"/>
    <w:rsid w:val="007A38E3"/>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0675"/>
    <w:rsid w:val="00804D0E"/>
    <w:rsid w:val="00815491"/>
    <w:rsid w:val="0082324A"/>
    <w:rsid w:val="008245A3"/>
    <w:rsid w:val="008302DC"/>
    <w:rsid w:val="008334F3"/>
    <w:rsid w:val="0083372F"/>
    <w:rsid w:val="00857F0B"/>
    <w:rsid w:val="008625D4"/>
    <w:rsid w:val="0087164E"/>
    <w:rsid w:val="00873998"/>
    <w:rsid w:val="00880F11"/>
    <w:rsid w:val="00882E02"/>
    <w:rsid w:val="00885384"/>
    <w:rsid w:val="00886436"/>
    <w:rsid w:val="008920E1"/>
    <w:rsid w:val="00893FF6"/>
    <w:rsid w:val="008A36B4"/>
    <w:rsid w:val="008A7D0C"/>
    <w:rsid w:val="008B4D1B"/>
    <w:rsid w:val="008C68AB"/>
    <w:rsid w:val="008C6E67"/>
    <w:rsid w:val="008D59F1"/>
    <w:rsid w:val="008D6038"/>
    <w:rsid w:val="008D7012"/>
    <w:rsid w:val="008E37B0"/>
    <w:rsid w:val="008E3F3A"/>
    <w:rsid w:val="008E7A32"/>
    <w:rsid w:val="008E7FAA"/>
    <w:rsid w:val="008F2072"/>
    <w:rsid w:val="008F2F30"/>
    <w:rsid w:val="008F6F19"/>
    <w:rsid w:val="00900A42"/>
    <w:rsid w:val="009069EE"/>
    <w:rsid w:val="00911B27"/>
    <w:rsid w:val="00920EFB"/>
    <w:rsid w:val="0092566D"/>
    <w:rsid w:val="0093318C"/>
    <w:rsid w:val="00941FC5"/>
    <w:rsid w:val="00942F12"/>
    <w:rsid w:val="009449AE"/>
    <w:rsid w:val="00945885"/>
    <w:rsid w:val="00950305"/>
    <w:rsid w:val="00960FF4"/>
    <w:rsid w:val="00962CD4"/>
    <w:rsid w:val="00966197"/>
    <w:rsid w:val="0097354E"/>
    <w:rsid w:val="009812C8"/>
    <w:rsid w:val="009815BA"/>
    <w:rsid w:val="00987CCB"/>
    <w:rsid w:val="00990228"/>
    <w:rsid w:val="009A581A"/>
    <w:rsid w:val="009A7D2F"/>
    <w:rsid w:val="009A7DE5"/>
    <w:rsid w:val="009B1017"/>
    <w:rsid w:val="009B4381"/>
    <w:rsid w:val="009B4A69"/>
    <w:rsid w:val="009C6541"/>
    <w:rsid w:val="009C6919"/>
    <w:rsid w:val="009C7524"/>
    <w:rsid w:val="009D03F3"/>
    <w:rsid w:val="009D510E"/>
    <w:rsid w:val="009D5C3B"/>
    <w:rsid w:val="009E77BF"/>
    <w:rsid w:val="00A00F25"/>
    <w:rsid w:val="00A01F70"/>
    <w:rsid w:val="00A06B10"/>
    <w:rsid w:val="00A13919"/>
    <w:rsid w:val="00A2356C"/>
    <w:rsid w:val="00A26477"/>
    <w:rsid w:val="00A5263F"/>
    <w:rsid w:val="00A612A4"/>
    <w:rsid w:val="00A63428"/>
    <w:rsid w:val="00A63981"/>
    <w:rsid w:val="00A72244"/>
    <w:rsid w:val="00A72AB9"/>
    <w:rsid w:val="00A80B58"/>
    <w:rsid w:val="00A87275"/>
    <w:rsid w:val="00A875B6"/>
    <w:rsid w:val="00A900AF"/>
    <w:rsid w:val="00A91344"/>
    <w:rsid w:val="00A96EDC"/>
    <w:rsid w:val="00AB2E66"/>
    <w:rsid w:val="00AC523C"/>
    <w:rsid w:val="00AD7636"/>
    <w:rsid w:val="00AE16FE"/>
    <w:rsid w:val="00AE3449"/>
    <w:rsid w:val="00AE7046"/>
    <w:rsid w:val="00AE744D"/>
    <w:rsid w:val="00AF24EB"/>
    <w:rsid w:val="00AF519B"/>
    <w:rsid w:val="00B0380D"/>
    <w:rsid w:val="00B04AC7"/>
    <w:rsid w:val="00B10286"/>
    <w:rsid w:val="00B1346F"/>
    <w:rsid w:val="00B1435F"/>
    <w:rsid w:val="00B14653"/>
    <w:rsid w:val="00B16A82"/>
    <w:rsid w:val="00B2339C"/>
    <w:rsid w:val="00B26280"/>
    <w:rsid w:val="00B266B7"/>
    <w:rsid w:val="00B26841"/>
    <w:rsid w:val="00B318E2"/>
    <w:rsid w:val="00B3486C"/>
    <w:rsid w:val="00B374FE"/>
    <w:rsid w:val="00B43804"/>
    <w:rsid w:val="00B4435B"/>
    <w:rsid w:val="00B45D60"/>
    <w:rsid w:val="00B53DAF"/>
    <w:rsid w:val="00B62990"/>
    <w:rsid w:val="00B66D36"/>
    <w:rsid w:val="00B82548"/>
    <w:rsid w:val="00B923DB"/>
    <w:rsid w:val="00B93281"/>
    <w:rsid w:val="00B954D2"/>
    <w:rsid w:val="00BA0241"/>
    <w:rsid w:val="00BA45A9"/>
    <w:rsid w:val="00BB12F9"/>
    <w:rsid w:val="00BB4BE2"/>
    <w:rsid w:val="00BB7731"/>
    <w:rsid w:val="00BC0460"/>
    <w:rsid w:val="00BC0823"/>
    <w:rsid w:val="00BC2DCA"/>
    <w:rsid w:val="00BD365B"/>
    <w:rsid w:val="00BD4DFF"/>
    <w:rsid w:val="00BD6B2C"/>
    <w:rsid w:val="00BF185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770C"/>
    <w:rsid w:val="00CB0A20"/>
    <w:rsid w:val="00CB7793"/>
    <w:rsid w:val="00CB7EB2"/>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0931"/>
    <w:rsid w:val="00D2799C"/>
    <w:rsid w:val="00D34E2C"/>
    <w:rsid w:val="00D35263"/>
    <w:rsid w:val="00D36AC3"/>
    <w:rsid w:val="00D40D8D"/>
    <w:rsid w:val="00D55B69"/>
    <w:rsid w:val="00D56F3F"/>
    <w:rsid w:val="00D571E5"/>
    <w:rsid w:val="00D67CB4"/>
    <w:rsid w:val="00D70262"/>
    <w:rsid w:val="00D72D6F"/>
    <w:rsid w:val="00D83D4E"/>
    <w:rsid w:val="00D90843"/>
    <w:rsid w:val="00DA5FF8"/>
    <w:rsid w:val="00DA7D7A"/>
    <w:rsid w:val="00DB4177"/>
    <w:rsid w:val="00DB7BB8"/>
    <w:rsid w:val="00DC1112"/>
    <w:rsid w:val="00DC4000"/>
    <w:rsid w:val="00DC4F14"/>
    <w:rsid w:val="00DC7C3D"/>
    <w:rsid w:val="00DD1104"/>
    <w:rsid w:val="00DD2E1A"/>
    <w:rsid w:val="00DD4081"/>
    <w:rsid w:val="00DD4089"/>
    <w:rsid w:val="00DD50A7"/>
    <w:rsid w:val="00DE326C"/>
    <w:rsid w:val="00DE39FF"/>
    <w:rsid w:val="00DE4B99"/>
    <w:rsid w:val="00DF4126"/>
    <w:rsid w:val="00DF4693"/>
    <w:rsid w:val="00DF51DB"/>
    <w:rsid w:val="00E01678"/>
    <w:rsid w:val="00E0272F"/>
    <w:rsid w:val="00E0624B"/>
    <w:rsid w:val="00E165F5"/>
    <w:rsid w:val="00E179D8"/>
    <w:rsid w:val="00E27AF7"/>
    <w:rsid w:val="00E3088A"/>
    <w:rsid w:val="00E30D2E"/>
    <w:rsid w:val="00E32516"/>
    <w:rsid w:val="00E33343"/>
    <w:rsid w:val="00E34822"/>
    <w:rsid w:val="00E42427"/>
    <w:rsid w:val="00E45A1B"/>
    <w:rsid w:val="00E47137"/>
    <w:rsid w:val="00E555F1"/>
    <w:rsid w:val="00E6033F"/>
    <w:rsid w:val="00E61360"/>
    <w:rsid w:val="00E70677"/>
    <w:rsid w:val="00E70BC7"/>
    <w:rsid w:val="00E70CC5"/>
    <w:rsid w:val="00E71AA0"/>
    <w:rsid w:val="00E71CDD"/>
    <w:rsid w:val="00E76169"/>
    <w:rsid w:val="00E76F43"/>
    <w:rsid w:val="00E81344"/>
    <w:rsid w:val="00E841EA"/>
    <w:rsid w:val="00E87987"/>
    <w:rsid w:val="00E94F5F"/>
    <w:rsid w:val="00E954FF"/>
    <w:rsid w:val="00EA2BE7"/>
    <w:rsid w:val="00EB1AAF"/>
    <w:rsid w:val="00EB686E"/>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30C6"/>
    <w:rsid w:val="00F3567C"/>
    <w:rsid w:val="00F379E6"/>
    <w:rsid w:val="00F45285"/>
    <w:rsid w:val="00F57DF7"/>
    <w:rsid w:val="00F61AFD"/>
    <w:rsid w:val="00F624FF"/>
    <w:rsid w:val="00F629C8"/>
    <w:rsid w:val="00F647A1"/>
    <w:rsid w:val="00F656CB"/>
    <w:rsid w:val="00F66E17"/>
    <w:rsid w:val="00F70863"/>
    <w:rsid w:val="00F7475B"/>
    <w:rsid w:val="00F77EBC"/>
    <w:rsid w:val="00F8399C"/>
    <w:rsid w:val="00F91A35"/>
    <w:rsid w:val="00F928D5"/>
    <w:rsid w:val="00F96AA8"/>
    <w:rsid w:val="00FA01A1"/>
    <w:rsid w:val="00FA2083"/>
    <w:rsid w:val="00FA3D7F"/>
    <w:rsid w:val="00FB130F"/>
    <w:rsid w:val="00FB169B"/>
    <w:rsid w:val="00FC04B8"/>
    <w:rsid w:val="00FD1057"/>
    <w:rsid w:val="00FD181A"/>
    <w:rsid w:val="00FD4A82"/>
    <w:rsid w:val="00FD5265"/>
    <w:rsid w:val="00FD5268"/>
    <w:rsid w:val="00FD781F"/>
    <w:rsid w:val="00FE02C3"/>
    <w:rsid w:val="00FE07B2"/>
    <w:rsid w:val="00FE2715"/>
    <w:rsid w:val="00FE7A67"/>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ru v:ext="edit" colors="#eaeaea,aqua,#ffb9b9"/>
      <o:colormenu v:ext="edit" fillcolor="#ffb9b9" strokecolor="none"/>
    </o:shapedefaults>
    <o:shapelayout v:ext="edit">
      <o:idmap v:ext="edit" data="1"/>
      <o:regrouptable v:ext="edit">
        <o:entry new="1" old="0"/>
        <o:entry new="2" old="1"/>
        <o:entry new="3" old="1"/>
        <o:entry new="4" old="0"/>
        <o:entry new="5" old="0"/>
        <o:entry new="6" old="3"/>
        <o:entry new="7" old="5"/>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 w:type="paragraph" w:styleId="DocumentMap">
    <w:name w:val="Document Map"/>
    <w:basedOn w:val="Normal"/>
    <w:link w:val="DocumentMapChar"/>
    <w:rsid w:val="00593F8E"/>
    <w:rPr>
      <w:rFonts w:ascii="Tahoma" w:hAnsi="Tahoma" w:cs="Tahoma"/>
      <w:sz w:val="16"/>
      <w:szCs w:val="16"/>
    </w:rPr>
  </w:style>
  <w:style w:type="character" w:customStyle="1" w:styleId="DocumentMapChar">
    <w:name w:val="Document Map Char"/>
    <w:basedOn w:val="DefaultParagraphFont"/>
    <w:link w:val="DocumentMap"/>
    <w:rsid w:val="00593F8E"/>
    <w:rPr>
      <w:rFonts w:ascii="Tahoma" w:hAnsi="Tahoma" w:cs="Tahoma"/>
      <w:sz w:val="16"/>
      <w:szCs w:val="16"/>
      <w:lang w:val="en-GB"/>
    </w:rPr>
  </w:style>
  <w:style w:type="character" w:styleId="PlaceholderText">
    <w:name w:val="Placeholder Text"/>
    <w:basedOn w:val="DefaultParagraphFont"/>
    <w:uiPriority w:val="99"/>
    <w:semiHidden/>
    <w:rsid w:val="00593F8E"/>
    <w:rPr>
      <w:color w:val="808080"/>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3CDF21-3FD3-4620-BC66-D0AB43CC2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The Inside Story Of The Annual Report: What Directors Must Know</vt:lpstr>
    </vt:vector>
  </TitlesOfParts>
  <Company>Bursatra</Company>
  <LinksUpToDate>false</LinksUpToDate>
  <CharactersWithSpaces>3453</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Director’s Perspective On Integrated Reporting </dc:title>
  <dc:subject/>
  <dc:creator>Azlan</dc:creator>
  <cp:keywords/>
  <cp:lastModifiedBy>hp</cp:lastModifiedBy>
  <cp:revision>14</cp:revision>
  <cp:lastPrinted>2015-07-06T11:13:00Z</cp:lastPrinted>
  <dcterms:created xsi:type="dcterms:W3CDTF">2016-01-18T17:26:00Z</dcterms:created>
  <dcterms:modified xsi:type="dcterms:W3CDTF">2016-06-15T19:10:00Z</dcterms:modified>
  <cp:category>CGBP</cp:category>
</cp:coreProperties>
</file>